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1941B53">
      <w:pPr>
        <w:jc w:val="left"/>
        <w:rPr>
          <w:rFonts w:hint="eastAsia" w:ascii="仿宋" w:hAnsi="仿宋" w:eastAsia="仿宋" w:cs="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10"/>
          <w:szCs w:val="13"/>
          <w14:textFill>
            <w14:solidFill>
              <w14:schemeClr w14:val="tx1"/>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-485775</wp:posOffset>
            </wp:positionV>
            <wp:extent cx="1374775" cy="567055"/>
            <wp:effectExtent l="0" t="0" r="15875" b="4445"/>
            <wp:wrapNone/>
            <wp:docPr id="2" name="图片 2" descr="1092c903b3ce7839f08d663294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92c903b3ce7839f08d663294bac20"/>
                    <pic:cNvPicPr>
                      <a:picLocks noChangeAspect="1"/>
                    </pic:cNvPicPr>
                  </pic:nvPicPr>
                  <pic:blipFill>
                    <a:blip r:embed="rId15" cstate="print"/>
                    <a:stretch>
                      <a:fillRect/>
                    </a:stretch>
                  </pic:blipFill>
                  <pic:spPr>
                    <a:xfrm>
                      <a:off x="0" y="0"/>
                      <a:ext cx="1374775" cy="567055"/>
                    </a:xfrm>
                    <a:prstGeom prst="rect">
                      <a:avLst/>
                    </a:prstGeom>
                  </pic:spPr>
                </pic:pic>
              </a:graphicData>
            </a:graphic>
          </wp:anchor>
        </w:drawing>
      </w:r>
    </w:p>
    <w:p w14:paraId="4C052350">
      <w:pPr>
        <w:spacing w:after="120" w:line="360" w:lineRule="auto"/>
        <w:jc w:val="center"/>
        <w:rPr>
          <w:rFonts w:hint="eastAsia" w:ascii="仿宋" w:hAnsi="仿宋" w:eastAsia="仿宋" w:cs="仿宋"/>
          <w:b/>
          <w:color w:val="000000" w:themeColor="text1"/>
          <w:sz w:val="52"/>
          <w:szCs w:val="52"/>
          <w:lang w:eastAsia="zh-CN"/>
          <w14:textFill>
            <w14:solidFill>
              <w14:schemeClr w14:val="tx1"/>
            </w14:solidFill>
          </w14:textFill>
        </w:rPr>
      </w:pPr>
    </w:p>
    <w:p w14:paraId="0DF88BDC">
      <w:pPr>
        <w:spacing w:after="120" w:line="360" w:lineRule="auto"/>
        <w:jc w:val="center"/>
        <w:rPr>
          <w:rFonts w:hint="eastAsia" w:ascii="仿宋" w:hAnsi="仿宋" w:eastAsia="仿宋" w:cs="仿宋"/>
          <w:b/>
          <w:color w:val="000000" w:themeColor="text1"/>
          <w:sz w:val="48"/>
          <w:szCs w:val="48"/>
          <w:highlight w:val="none"/>
          <w14:textFill>
            <w14:solidFill>
              <w14:schemeClr w14:val="tx1"/>
            </w14:solidFill>
          </w14:textFill>
        </w:rPr>
      </w:pPr>
      <w:r>
        <w:rPr>
          <w:rFonts w:hint="eastAsia" w:ascii="仿宋" w:hAnsi="仿宋" w:eastAsia="仿宋" w:cs="仿宋"/>
          <w:b/>
          <w:color w:val="000000" w:themeColor="text1"/>
          <w:sz w:val="48"/>
          <w:szCs w:val="48"/>
          <w:highlight w:val="none"/>
          <w:lang w:eastAsia="zh-CN"/>
          <w14:textFill>
            <w14:solidFill>
              <w14:schemeClr w14:val="tx1"/>
            </w14:solidFill>
          </w14:textFill>
        </w:rPr>
        <w:t>富顺县中医医院2025年污水药剂采购项目</w:t>
      </w:r>
    </w:p>
    <w:p w14:paraId="5368004C">
      <w:pPr>
        <w:spacing w:after="120"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000000" w:themeColor="text1"/>
          <w:sz w:val="36"/>
          <w:szCs w:val="36"/>
          <w:highlight w:val="none"/>
          <w14:textFill>
            <w14:solidFill>
              <w14:schemeClr w14:val="tx1"/>
            </w14:solidFill>
          </w14:textFill>
        </w:rPr>
        <w:t>项目编号：JRZB-2025-Q051</w:t>
      </w:r>
    </w:p>
    <w:p w14:paraId="78712983">
      <w:pPr>
        <w:widowControl/>
        <w:jc w:val="center"/>
        <w:rPr>
          <w:rFonts w:ascii="仿宋" w:hAnsi="仿宋" w:eastAsia="仿宋" w:cs="仿宋"/>
          <w:color w:val="000000" w:themeColor="text1"/>
          <w:kern w:val="0"/>
          <w:sz w:val="24"/>
          <w:highlight w:val="none"/>
          <w14:textFill>
            <w14:solidFill>
              <w14:schemeClr w14:val="tx1"/>
            </w14:solidFill>
          </w14:textFill>
        </w:rPr>
      </w:pPr>
    </w:p>
    <w:p w14:paraId="1616C129">
      <w:pPr>
        <w:tabs>
          <w:tab w:val="left" w:pos="28"/>
          <w:tab w:val="center" w:pos="4875"/>
        </w:tabs>
        <w:jc w:val="center"/>
        <w:rPr>
          <w:rFonts w:hint="eastAsia" w:ascii="仿宋" w:hAnsi="仿宋" w:eastAsia="仿宋" w:cs="仿宋"/>
          <w:b/>
          <w:color w:val="000000" w:themeColor="text1"/>
          <w:w w:val="88"/>
          <w:sz w:val="144"/>
          <w:szCs w:val="144"/>
          <w14:textFill>
            <w14:solidFill>
              <w14:schemeClr w14:val="tx1"/>
            </w14:solidFill>
          </w14:textFill>
        </w:rPr>
      </w:pPr>
    </w:p>
    <w:p w14:paraId="41C6F5B6">
      <w:pPr>
        <w:tabs>
          <w:tab w:val="left" w:pos="28"/>
          <w:tab w:val="center" w:pos="4875"/>
        </w:tabs>
        <w:jc w:val="center"/>
        <w:rPr>
          <w:rFonts w:ascii="仿宋" w:hAnsi="仿宋" w:eastAsia="仿宋" w:cs="仿宋"/>
          <w:b/>
          <w:color w:val="000000" w:themeColor="text1"/>
          <w:w w:val="128"/>
          <w:sz w:val="112"/>
          <w:szCs w:val="112"/>
          <w14:textFill>
            <w14:solidFill>
              <w14:schemeClr w14:val="tx1"/>
            </w14:solidFill>
          </w14:textFill>
        </w:rPr>
      </w:pPr>
      <w:r>
        <w:rPr>
          <w:rFonts w:hint="eastAsia" w:ascii="仿宋" w:hAnsi="仿宋" w:eastAsia="仿宋" w:cs="仿宋"/>
          <w:b/>
          <w:color w:val="000000" w:themeColor="text1"/>
          <w:w w:val="88"/>
          <w:sz w:val="144"/>
          <w:szCs w:val="144"/>
          <w14:textFill>
            <w14:solidFill>
              <w14:schemeClr w14:val="tx1"/>
            </w14:solidFill>
          </w14:textFill>
        </w:rPr>
        <w:t>竞争性谈判文件</w:t>
      </w:r>
    </w:p>
    <w:p w14:paraId="2DF608E9">
      <w:pPr>
        <w:jc w:val="both"/>
        <w:rPr>
          <w:rFonts w:ascii="仿宋" w:hAnsi="仿宋" w:eastAsia="仿宋" w:cs="仿宋"/>
          <w:b/>
          <w:color w:val="000000" w:themeColor="text1"/>
          <w:sz w:val="44"/>
          <w:szCs w:val="44"/>
          <w:highlight w:val="none"/>
          <w14:textFill>
            <w14:solidFill>
              <w14:schemeClr w14:val="tx1"/>
            </w14:solidFill>
          </w14:textFill>
        </w:rPr>
      </w:pPr>
    </w:p>
    <w:p w14:paraId="32F754EE">
      <w:pPr>
        <w:rPr>
          <w:rFonts w:hint="eastAsia" w:ascii="仿宋" w:hAnsi="仿宋" w:eastAsia="仿宋" w:cs="仿宋"/>
        </w:rPr>
      </w:pPr>
    </w:p>
    <w:p w14:paraId="42610516">
      <w:pPr>
        <w:pStyle w:val="2"/>
        <w:rPr>
          <w:rFonts w:ascii="仿宋" w:hAnsi="仿宋" w:eastAsia="仿宋" w:cs="仿宋"/>
          <w:b/>
          <w:color w:val="000000" w:themeColor="text1"/>
          <w:sz w:val="44"/>
          <w:szCs w:val="44"/>
          <w:highlight w:val="none"/>
          <w14:textFill>
            <w14:solidFill>
              <w14:schemeClr w14:val="tx1"/>
            </w14:solidFill>
          </w14:textFill>
        </w:rPr>
      </w:pPr>
    </w:p>
    <w:p w14:paraId="2C35D96C">
      <w:pPr>
        <w:rPr>
          <w:rFonts w:hint="eastAsia" w:ascii="仿宋" w:hAnsi="仿宋" w:eastAsia="仿宋" w:cs="仿宋"/>
        </w:rPr>
      </w:pPr>
    </w:p>
    <w:p w14:paraId="599E071D">
      <w:pPr>
        <w:pStyle w:val="2"/>
        <w:rPr>
          <w:rFonts w:hint="eastAsia" w:ascii="仿宋" w:hAnsi="仿宋" w:eastAsia="仿宋" w:cs="仿宋"/>
          <w:color w:val="000000" w:themeColor="text1"/>
          <w:highlight w:val="none"/>
          <w14:textFill>
            <w14:solidFill>
              <w14:schemeClr w14:val="tx1"/>
            </w14:solidFill>
          </w14:textFill>
        </w:rPr>
      </w:pPr>
    </w:p>
    <w:p w14:paraId="05F1A690">
      <w:pPr>
        <w:spacing w:line="360" w:lineRule="auto"/>
        <w:ind w:firstLine="1285" w:firstLineChars="400"/>
        <w:rPr>
          <w:rFonts w:hint="eastAsia" w:ascii="仿宋" w:hAnsi="仿宋" w:eastAsia="仿宋" w:cs="仿宋"/>
          <w:b/>
          <w:color w:val="000000" w:themeColor="text1"/>
          <w:sz w:val="32"/>
          <w:szCs w:val="32"/>
          <w:highlight w:val="none"/>
          <w:lang w:val="en-US"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购 </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人：</w:t>
      </w:r>
      <w:r>
        <w:rPr>
          <w:rFonts w:hint="eastAsia" w:ascii="仿宋" w:hAnsi="仿宋" w:eastAsia="仿宋" w:cs="仿宋"/>
          <w:b/>
          <w:color w:val="000000" w:themeColor="text1"/>
          <w:sz w:val="32"/>
          <w:szCs w:val="32"/>
          <w:highlight w:val="none"/>
          <w:lang w:val="en-US" w:eastAsia="zh-CN"/>
          <w14:textFill>
            <w14:solidFill>
              <w14:schemeClr w14:val="tx1"/>
            </w14:solidFill>
          </w14:textFill>
        </w:rPr>
        <w:t>富顺县中医医院</w:t>
      </w:r>
    </w:p>
    <w:p w14:paraId="2DB3A8AE">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采购代理机构：四川久润招投标代理有限公司</w:t>
      </w:r>
    </w:p>
    <w:p w14:paraId="71111B5C">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文  件 编 制：采购人与采购代理机构共同编制</w:t>
      </w:r>
    </w:p>
    <w:p w14:paraId="32CA3FAA">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p>
    <w:p w14:paraId="7956ED8F">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r>
        <w:rPr>
          <w:rFonts w:hint="eastAsia" w:ascii="仿宋" w:hAnsi="仿宋" w:eastAsia="仿宋" w:cs="仿宋"/>
          <w:b/>
          <w:color w:val="000000" w:themeColor="text1"/>
          <w:spacing w:val="16"/>
          <w:sz w:val="32"/>
          <w:szCs w:val="32"/>
          <w14:textFill>
            <w14:solidFill>
              <w14:schemeClr w14:val="tx1"/>
            </w14:solidFill>
          </w14:textFill>
        </w:rPr>
        <w:t>四川·自贡</w:t>
      </w:r>
    </w:p>
    <w:p w14:paraId="4EAA87E9">
      <w:pPr>
        <w:tabs>
          <w:tab w:val="left" w:pos="7035"/>
        </w:tabs>
        <w:spacing w:after="60" w:line="360" w:lineRule="auto"/>
        <w:jc w:val="center"/>
        <w:rPr>
          <w:rFonts w:ascii="仿宋" w:hAnsi="仿宋" w:eastAsia="仿宋" w:cs="仿宋"/>
          <w:b/>
          <w:color w:val="000000" w:themeColor="text1"/>
          <w:spacing w:val="16"/>
          <w:sz w:val="44"/>
          <w:szCs w:val="44"/>
          <w14:textFill>
            <w14:solidFill>
              <w14:schemeClr w14:val="tx1"/>
            </w14:solidFill>
          </w14:textFill>
        </w:rPr>
        <w:sectPr>
          <w:headerReference r:id="rId5" w:type="first"/>
          <w:headerReference r:id="rId3" w:type="default"/>
          <w:headerReference r:id="rId4" w:type="even"/>
          <w:footerReference r:id="rId6" w:type="even"/>
          <w:pgSz w:w="11907" w:h="16840"/>
          <w:pgMar w:top="1440" w:right="1173" w:bottom="1440" w:left="1074"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 w:hAnsi="仿宋" w:eastAsia="仿宋" w:cs="仿宋"/>
          <w:b/>
          <w:color w:val="000000" w:themeColor="text1"/>
          <w:sz w:val="32"/>
          <w:szCs w:val="32"/>
          <w14:textFill>
            <w14:solidFill>
              <w14:schemeClr w14:val="tx1"/>
            </w14:solidFill>
          </w14:textFill>
        </w:rPr>
        <w:t>二〇二</w:t>
      </w:r>
      <w:r>
        <w:rPr>
          <w:rFonts w:hint="eastAsia" w:ascii="仿宋" w:hAnsi="仿宋" w:eastAsia="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eastAsia="zh-CN"/>
          <w14:textFill>
            <w14:solidFill>
              <w14:schemeClr w14:val="tx1"/>
            </w14:solidFill>
          </w14:textFill>
        </w:rPr>
        <w:t>三</w:t>
      </w:r>
      <w:r>
        <w:rPr>
          <w:rFonts w:hint="eastAsia" w:ascii="仿宋" w:hAnsi="仿宋" w:eastAsia="仿宋" w:cs="仿宋"/>
          <w:b/>
          <w:color w:val="000000" w:themeColor="text1"/>
          <w:sz w:val="32"/>
          <w:szCs w:val="32"/>
          <w14:textFill>
            <w14:solidFill>
              <w14:schemeClr w14:val="tx1"/>
            </w14:solidFill>
          </w14:textFill>
        </w:rPr>
        <w:t>月</w:t>
      </w:r>
    </w:p>
    <w:p w14:paraId="3FF1155C">
      <w:pPr>
        <w:tabs>
          <w:tab w:val="left" w:leader="dot" w:pos="7980"/>
        </w:tabs>
        <w:spacing w:line="600" w:lineRule="auto"/>
        <w:jc w:val="left"/>
        <w:outlineLvl w:val="9"/>
        <w:rPr>
          <w:rFonts w:hint="eastAsia" w:ascii="仿宋" w:hAnsi="仿宋" w:eastAsia="仿宋" w:cs="仿宋"/>
          <w:color w:val="auto"/>
        </w:rPr>
      </w:pPr>
      <w:bookmarkStart w:id="0" w:name="_Toc15228"/>
      <w:bookmarkStart w:id="1" w:name="_Toc22311"/>
      <w:bookmarkStart w:id="2" w:name="_Toc17411"/>
      <w:bookmarkStart w:id="3" w:name="_Toc31928"/>
    </w:p>
    <w:sdt>
      <w:sdtPr>
        <w:rPr>
          <w:rFonts w:hint="eastAsia" w:ascii="仿宋" w:hAnsi="仿宋" w:eastAsia="仿宋" w:cs="仿宋"/>
          <w:b/>
          <w:color w:val="000000" w:themeColor="text1"/>
          <w:spacing w:val="16"/>
          <w:kern w:val="2"/>
          <w:sz w:val="44"/>
          <w:szCs w:val="44"/>
          <w:highlight w:val="none"/>
          <w:lang w:val="en-US" w:eastAsia="zh-CN" w:bidi="ar-SA"/>
          <w14:textFill>
            <w14:solidFill>
              <w14:schemeClr w14:val="tx1"/>
            </w14:solidFill>
          </w14:textFill>
        </w:rPr>
        <w:id w:val="147457502"/>
        <w15:color w:val="DBDBDB"/>
        <w:docPartObj>
          <w:docPartGallery w:val="Table of Contents"/>
          <w:docPartUnique/>
        </w:docPartObj>
      </w:sdtPr>
      <w:sdtEndPr>
        <w:rPr>
          <w:rFonts w:hint="eastAsia" w:ascii="仿宋" w:hAnsi="仿宋" w:eastAsia="仿宋" w:cs="仿宋"/>
          <w:b/>
          <w:color w:val="000000" w:themeColor="text1"/>
          <w:spacing w:val="16"/>
          <w:kern w:val="2"/>
          <w:sz w:val="28"/>
          <w:szCs w:val="28"/>
          <w:highlight w:val="none"/>
          <w:lang w:val="en-US" w:eastAsia="zh-CN" w:bidi="ar-SA"/>
          <w14:textFill>
            <w14:solidFill>
              <w14:schemeClr w14:val="tx1"/>
            </w14:solidFill>
          </w14:textFill>
        </w:rPr>
      </w:sdtEndPr>
      <w:sdtContent>
        <w:p w14:paraId="6C19D576">
          <w:pPr>
            <w:tabs>
              <w:tab w:val="left" w:pos="7035"/>
            </w:tabs>
            <w:spacing w:before="0" w:beforeLines="-2147483648" w:after="60" w:afterLines="-2147483648" w:line="240" w:lineRule="auto"/>
            <w:ind w:left="0" w:leftChars="0" w:right="0" w:rightChars="0" w:firstLine="0" w:firstLineChars="0"/>
            <w:jc w:val="center"/>
            <w:rPr>
              <w:rFonts w:hint="eastAsia" w:ascii="仿宋" w:hAnsi="仿宋" w:eastAsia="仿宋" w:cs="仿宋"/>
              <w:b/>
              <w:color w:val="000000" w:themeColor="text1"/>
              <w:spacing w:val="16"/>
              <w:sz w:val="44"/>
              <w:szCs w:val="44"/>
              <w:highlight w:val="none"/>
              <w14:textFill>
                <w14:solidFill>
                  <w14:schemeClr w14:val="tx1"/>
                </w14:solidFill>
              </w14:textFill>
            </w:rPr>
          </w:pPr>
          <w:r>
            <w:rPr>
              <w:rFonts w:hint="eastAsia" w:ascii="仿宋" w:hAnsi="仿宋" w:eastAsia="仿宋" w:cs="仿宋"/>
              <w:b/>
              <w:color w:val="000000" w:themeColor="text1"/>
              <w:spacing w:val="16"/>
              <w:sz w:val="44"/>
              <w:szCs w:val="44"/>
              <w:highlight w:val="none"/>
              <w14:textFill>
                <w14:solidFill>
                  <w14:schemeClr w14:val="tx1"/>
                </w14:solidFill>
              </w14:textFill>
            </w:rPr>
            <w:t>目</w:t>
          </w:r>
          <w:r>
            <w:rPr>
              <w:rFonts w:hint="eastAsia" w:ascii="仿宋" w:hAnsi="仿宋" w:eastAsia="仿宋" w:cs="仿宋"/>
              <w:b/>
              <w:color w:val="000000" w:themeColor="text1"/>
              <w:spacing w:val="16"/>
              <w:sz w:val="44"/>
              <w:szCs w:val="44"/>
              <w:highlight w:val="none"/>
              <w:lang w:val="en-US" w:eastAsia="zh-CN"/>
              <w14:textFill>
                <w14:solidFill>
                  <w14:schemeClr w14:val="tx1"/>
                </w14:solidFill>
              </w14:textFill>
            </w:rPr>
            <w:t xml:space="preserve">  </w:t>
          </w:r>
          <w:r>
            <w:rPr>
              <w:rFonts w:hint="eastAsia" w:ascii="仿宋" w:hAnsi="仿宋" w:eastAsia="仿宋" w:cs="仿宋"/>
              <w:b/>
              <w:color w:val="000000" w:themeColor="text1"/>
              <w:spacing w:val="16"/>
              <w:sz w:val="44"/>
              <w:szCs w:val="44"/>
              <w:highlight w:val="none"/>
              <w14:textFill>
                <w14:solidFill>
                  <w14:schemeClr w14:val="tx1"/>
                </w14:solidFill>
              </w14:textFill>
            </w:rPr>
            <w:t>录</w:t>
          </w:r>
        </w:p>
        <w:p w14:paraId="2D3CB39E">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
              <w:bCs/>
              <w:color w:val="auto"/>
              <w:spacing w:val="-2"/>
              <w:sz w:val="28"/>
              <w:szCs w:val="28"/>
            </w:rPr>
            <w:fldChar w:fldCharType="begin"/>
          </w:r>
          <w:r>
            <w:rPr>
              <w:rFonts w:ascii="仿宋" w:hAnsi="仿宋" w:eastAsia="仿宋" w:cs="仿宋"/>
              <w:b/>
              <w:bCs/>
              <w:color w:val="auto"/>
              <w:spacing w:val="-2"/>
              <w:sz w:val="28"/>
              <w:szCs w:val="28"/>
            </w:rPr>
            <w:instrText xml:space="preserve">TOC \o "1-1" \h \u </w:instrText>
          </w:r>
          <w:r>
            <w:rPr>
              <w:rFonts w:ascii="仿宋" w:hAnsi="仿宋" w:eastAsia="仿宋" w:cs="仿宋"/>
              <w:b/>
              <w:bCs/>
              <w:color w:val="auto"/>
              <w:spacing w:val="-2"/>
              <w:sz w:val="28"/>
              <w:szCs w:val="28"/>
            </w:rPr>
            <w:fldChar w:fldCharType="separate"/>
          </w: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_Toc9930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第一章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_Toc9930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4C82AEB4">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_Toc2195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第二章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供应商谈判须知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51DF1ABB">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_Toc11322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第三章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供应商的资格条件要求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_Toc11322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56C78913">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_Toc22893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第四章 供应商应当提供的资格证明材料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_Toc22893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4FDFB025">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_Toc28624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第五章 采购项目内容及商务要求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_Toc28624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24A6D11D">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_Toc24419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六</w:t>
          </w:r>
          <w:r>
            <w:rPr>
              <w:rFonts w:hint="eastAsia" w:ascii="仿宋" w:hAnsi="仿宋" w:eastAsia="仿宋" w:cs="仿宋"/>
              <w:bCs/>
              <w:kern w:val="2"/>
              <w:sz w:val="28"/>
              <w:szCs w:val="28"/>
            </w:rPr>
            <w:t>章 谈判内容、谈判过程中可能实质性变动的内容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_Toc24419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7F76FD20">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_Toc4706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七</w:t>
          </w:r>
          <w:r>
            <w:rPr>
              <w:rFonts w:hint="eastAsia" w:ascii="仿宋" w:hAnsi="仿宋" w:eastAsia="仿宋" w:cs="仿宋"/>
              <w:bCs/>
              <w:kern w:val="2"/>
              <w:sz w:val="28"/>
              <w:szCs w:val="28"/>
            </w:rPr>
            <w:t>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响应文件主要格式要求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_Toc4706 \h </w:instrText>
          </w:r>
          <w:r>
            <w:rPr>
              <w:rFonts w:hint="eastAsia" w:ascii="仿宋" w:hAnsi="仿宋" w:eastAsia="仿宋" w:cs="仿宋"/>
              <w:sz w:val="28"/>
              <w:szCs w:val="28"/>
            </w:rPr>
            <w:fldChar w:fldCharType="separate"/>
          </w:r>
          <w:r>
            <w:rPr>
              <w:rFonts w:hint="eastAsia" w:ascii="仿宋" w:hAnsi="仿宋" w:eastAsia="仿宋" w:cs="仿宋"/>
              <w:sz w:val="28"/>
              <w:szCs w:val="28"/>
            </w:rPr>
            <w:t>30</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4F1C7FDB">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_Toc26224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eastAsia="zh-CN"/>
            </w:rPr>
            <w:t>八</w:t>
          </w:r>
          <w:r>
            <w:rPr>
              <w:rFonts w:hint="eastAsia" w:ascii="仿宋" w:hAnsi="仿宋" w:eastAsia="仿宋" w:cs="仿宋"/>
              <w:sz w:val="28"/>
              <w:szCs w:val="28"/>
            </w:rPr>
            <w:t>章 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_Toc26224 \h </w:instrText>
          </w:r>
          <w:r>
            <w:rPr>
              <w:rFonts w:hint="eastAsia" w:ascii="仿宋" w:hAnsi="仿宋" w:eastAsia="仿宋" w:cs="仿宋"/>
              <w:sz w:val="28"/>
              <w:szCs w:val="28"/>
            </w:rPr>
            <w:fldChar w:fldCharType="separate"/>
          </w:r>
          <w:r>
            <w:rPr>
              <w:rFonts w:hint="eastAsia" w:ascii="仿宋" w:hAnsi="仿宋" w:eastAsia="仿宋" w:cs="仿宋"/>
              <w:sz w:val="28"/>
              <w:szCs w:val="28"/>
            </w:rPr>
            <w:t>49</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1951A733">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_Toc3219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第九章 采购合同（样例）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_Toc3219 \h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18E20EAF">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_Toc14066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第十章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_Toc14066 \h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14:paraId="76B288F9">
          <w:pPr>
            <w:spacing w:line="480" w:lineRule="auto"/>
            <w:jc w:val="left"/>
            <w:outlineLvl w:val="9"/>
            <w:rPr>
              <w:rFonts w:ascii="仿宋" w:hAnsi="仿宋" w:eastAsia="仿宋" w:cs="仿宋"/>
              <w:b/>
              <w:bCs/>
              <w:color w:val="auto"/>
              <w:spacing w:val="-2"/>
              <w:sz w:val="28"/>
              <w:szCs w:val="28"/>
            </w:rPr>
            <w:sectPr>
              <w:footerReference r:id="rId8" w:type="first"/>
              <w:footerReference r:id="rId7" w:type="default"/>
              <w:pgSz w:w="11850" w:h="16783"/>
              <w:pgMar w:top="1440" w:right="1395" w:bottom="1440" w:left="150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ascii="仿宋" w:hAnsi="仿宋" w:eastAsia="仿宋" w:cs="仿宋"/>
              <w:bCs/>
              <w:color w:val="auto"/>
              <w:spacing w:val="-2"/>
              <w:sz w:val="28"/>
              <w:szCs w:val="28"/>
            </w:rPr>
            <w:fldChar w:fldCharType="end"/>
          </w:r>
        </w:p>
      </w:sdtContent>
    </w:sdt>
    <w:p w14:paraId="4EA92EEE">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jc w:val="center"/>
        <w:textAlignment w:val="auto"/>
        <w:outlineLvl w:val="0"/>
        <w:rPr>
          <w:rFonts w:ascii="仿宋" w:hAnsi="仿宋" w:eastAsia="仿宋" w:cs="仿宋"/>
          <w:b/>
          <w:bCs/>
          <w:color w:val="auto"/>
          <w:spacing w:val="-2"/>
          <w:sz w:val="36"/>
          <w:szCs w:val="36"/>
        </w:rPr>
      </w:pPr>
      <w:bookmarkStart w:id="4" w:name="_Toc12615"/>
      <w:bookmarkStart w:id="5" w:name="_Toc9930"/>
      <w:r>
        <w:rPr>
          <w:rFonts w:hint="eastAsia" w:ascii="仿宋" w:hAnsi="仿宋" w:eastAsia="仿宋" w:cs="仿宋"/>
          <w:b/>
          <w:bCs/>
          <w:color w:val="auto"/>
          <w:spacing w:val="-2"/>
          <w:sz w:val="36"/>
          <w:szCs w:val="36"/>
        </w:rPr>
        <w:t>第一章</w:t>
      </w:r>
      <w:r>
        <w:rPr>
          <w:rFonts w:hint="eastAsia" w:ascii="仿宋" w:hAnsi="仿宋" w:eastAsia="仿宋" w:cs="仿宋"/>
          <w:b/>
          <w:bCs/>
          <w:color w:val="auto"/>
          <w:spacing w:val="-2"/>
          <w:sz w:val="36"/>
          <w:szCs w:val="36"/>
          <w:lang w:val="en-US" w:eastAsia="zh-CN"/>
        </w:rPr>
        <w:t xml:space="preserve"> </w:t>
      </w:r>
      <w:bookmarkStart w:id="6" w:name="_Toc200874607"/>
      <w:bookmarkStart w:id="7" w:name="_Toc226699473"/>
      <w:bookmarkStart w:id="8" w:name="_Toc203812309"/>
      <w:r>
        <w:rPr>
          <w:rFonts w:hint="eastAsia" w:ascii="仿宋" w:hAnsi="仿宋" w:eastAsia="仿宋" w:cs="仿宋"/>
          <w:b/>
          <w:bCs/>
          <w:color w:val="auto"/>
          <w:spacing w:val="-2"/>
          <w:sz w:val="36"/>
          <w:szCs w:val="36"/>
        </w:rPr>
        <w:t>谈判邀请</w:t>
      </w:r>
      <w:bookmarkEnd w:id="0"/>
      <w:bookmarkEnd w:id="1"/>
      <w:bookmarkEnd w:id="2"/>
      <w:bookmarkEnd w:id="3"/>
      <w:bookmarkEnd w:id="4"/>
      <w:bookmarkEnd w:id="5"/>
    </w:p>
    <w:bookmarkEnd w:id="6"/>
    <w:bookmarkEnd w:id="7"/>
    <w:bookmarkEnd w:id="8"/>
    <w:p w14:paraId="19ECAF66">
      <w:pPr>
        <w:pStyle w:val="117"/>
        <w:numPr>
          <w:ilvl w:val="0"/>
          <w:numId w:val="0"/>
        </w:numPr>
        <w:spacing w:line="360" w:lineRule="auto"/>
        <w:ind w:left="0" w:leftChars="0" w:firstLine="493" w:firstLineChars="209"/>
        <w:rPr>
          <w:rFonts w:hint="eastAsia" w:ascii="仿宋" w:hAnsi="仿宋" w:eastAsia="仿宋" w:cs="仿宋"/>
          <w:bCs/>
          <w:color w:val="auto"/>
          <w:spacing w:val="-2"/>
          <w:sz w:val="24"/>
        </w:rPr>
      </w:pPr>
      <w:bookmarkStart w:id="9" w:name="OLE_LINK16"/>
      <w:bookmarkStart w:id="10" w:name="OLE_LINK23"/>
      <w:bookmarkStart w:id="11" w:name="OLE_LINK8"/>
      <w:r>
        <w:rPr>
          <w:rFonts w:hint="eastAsia" w:ascii="仿宋" w:hAnsi="仿宋" w:eastAsia="仿宋" w:cs="仿宋"/>
          <w:color w:val="auto"/>
          <w:spacing w:val="-2"/>
          <w:sz w:val="24"/>
          <w:u w:val="single"/>
        </w:rPr>
        <w:t>四川久润招投标代理有限公司</w:t>
      </w:r>
      <w:r>
        <w:rPr>
          <w:rFonts w:hint="eastAsia" w:ascii="仿宋" w:hAnsi="仿宋" w:eastAsia="仿宋" w:cs="仿宋"/>
          <w:color w:val="auto"/>
          <w:spacing w:val="-2"/>
          <w:sz w:val="24"/>
        </w:rPr>
        <w:t>受</w:t>
      </w:r>
      <w:r>
        <w:rPr>
          <w:rFonts w:hint="eastAsia" w:ascii="仿宋" w:hAnsi="仿宋" w:eastAsia="仿宋" w:cs="仿宋"/>
          <w:color w:val="auto"/>
          <w:spacing w:val="-2"/>
          <w:sz w:val="24"/>
          <w:u w:val="single"/>
          <w:lang w:eastAsia="zh-CN"/>
        </w:rPr>
        <w:t>富顺县中医医院</w:t>
      </w:r>
      <w:r>
        <w:rPr>
          <w:rFonts w:hint="eastAsia" w:ascii="仿宋" w:hAnsi="仿宋" w:eastAsia="仿宋" w:cs="仿宋"/>
          <w:color w:val="auto"/>
          <w:spacing w:val="-2"/>
          <w:sz w:val="24"/>
        </w:rPr>
        <w:t>委托，就批准实施</w:t>
      </w:r>
      <w:r>
        <w:rPr>
          <w:rFonts w:hint="eastAsia" w:ascii="仿宋" w:hAnsi="仿宋" w:eastAsia="仿宋" w:cs="仿宋"/>
          <w:color w:val="auto"/>
          <w:spacing w:val="-2"/>
          <w:sz w:val="24"/>
          <w:u w:val="single"/>
          <w:lang w:eastAsia="zh-CN"/>
        </w:rPr>
        <w:t>富顺县中医医院2025年污水药剂采购项目</w:t>
      </w:r>
      <w:r>
        <w:rPr>
          <w:rFonts w:hint="eastAsia" w:ascii="仿宋" w:hAnsi="仿宋" w:eastAsia="仿宋" w:cs="仿宋"/>
          <w:color w:val="auto"/>
          <w:spacing w:val="-2"/>
          <w:sz w:val="24"/>
        </w:rPr>
        <w:t>进行竞争性谈判</w:t>
      </w:r>
      <w:r>
        <w:rPr>
          <w:rFonts w:hint="eastAsia" w:ascii="仿宋" w:hAnsi="仿宋" w:eastAsia="仿宋" w:cs="仿宋"/>
          <w:b w:val="0"/>
          <w:bCs/>
          <w:color w:val="auto"/>
          <w:spacing w:val="-2"/>
          <w:sz w:val="24"/>
        </w:rPr>
        <w:t>，</w:t>
      </w:r>
      <w:r>
        <w:rPr>
          <w:rFonts w:hint="eastAsia" w:ascii="仿宋" w:hAnsi="仿宋" w:eastAsia="仿宋" w:cs="仿宋"/>
          <w:color w:val="auto"/>
          <w:spacing w:val="-2"/>
          <w:sz w:val="24"/>
        </w:rPr>
        <w:t>现邀请符合本次采购要求的供应商参加谈</w:t>
      </w:r>
      <w:r>
        <w:rPr>
          <w:rFonts w:hint="eastAsia" w:ascii="仿宋" w:hAnsi="仿宋" w:eastAsia="仿宋" w:cs="仿宋"/>
          <w:bCs/>
          <w:color w:val="auto"/>
          <w:spacing w:val="-2"/>
          <w:sz w:val="24"/>
        </w:rPr>
        <w:t>判。</w:t>
      </w:r>
    </w:p>
    <w:p w14:paraId="35CCCA3D">
      <w:pPr>
        <w:pStyle w:val="2"/>
        <w:spacing w:line="360" w:lineRule="auto"/>
        <w:rPr>
          <w:rFonts w:hint="eastAsia" w:ascii="仿宋" w:hAnsi="仿宋" w:eastAsia="仿宋" w:cs="仿宋"/>
          <w:color w:val="auto"/>
          <w:sz w:val="24"/>
        </w:rPr>
      </w:pPr>
    </w:p>
    <w:p w14:paraId="768B2603">
      <w:pPr>
        <w:spacing w:line="360" w:lineRule="auto"/>
        <w:ind w:firstLine="474" w:firstLineChars="200"/>
        <w:outlineLvl w:val="1"/>
        <w:rPr>
          <w:rFonts w:hint="eastAsia" w:ascii="仿宋" w:hAnsi="仿宋" w:eastAsia="仿宋" w:cs="仿宋"/>
          <w:color w:val="auto"/>
          <w:sz w:val="24"/>
        </w:rPr>
      </w:pPr>
      <w:r>
        <w:rPr>
          <w:rFonts w:hint="eastAsia" w:ascii="仿宋" w:hAnsi="仿宋" w:eastAsia="仿宋" w:cs="仿宋"/>
          <w:b/>
          <w:color w:val="auto"/>
          <w:spacing w:val="-2"/>
          <w:sz w:val="24"/>
        </w:rPr>
        <w:t>一、采购项目基本情况介绍</w:t>
      </w:r>
    </w:p>
    <w:p w14:paraId="778F29B5">
      <w:pPr>
        <w:spacing w:line="360" w:lineRule="auto"/>
        <w:ind w:left="2204" w:leftChars="228" w:hanging="1725" w:hangingChars="731"/>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rPr>
        <w:t>1.1 项目名</w:t>
      </w:r>
      <w:r>
        <w:rPr>
          <w:rFonts w:hint="eastAsia" w:ascii="仿宋" w:hAnsi="仿宋" w:eastAsia="仿宋" w:cs="仿宋"/>
          <w:bCs/>
          <w:color w:val="auto"/>
          <w:spacing w:val="-2"/>
          <w:sz w:val="24"/>
          <w:highlight w:val="none"/>
        </w:rPr>
        <w:t>称：</w:t>
      </w:r>
      <w:r>
        <w:rPr>
          <w:rFonts w:hint="eastAsia" w:ascii="仿宋" w:hAnsi="仿宋" w:eastAsia="仿宋" w:cs="仿宋"/>
          <w:color w:val="auto"/>
          <w:spacing w:val="-2"/>
          <w:sz w:val="24"/>
          <w:u w:val="none"/>
          <w:lang w:eastAsia="zh-CN"/>
        </w:rPr>
        <w:t>富顺县中医医院2025年污水药剂采购项目</w:t>
      </w:r>
    </w:p>
    <w:p w14:paraId="3B612018">
      <w:pPr>
        <w:spacing w:line="360" w:lineRule="auto"/>
        <w:ind w:left="479" w:leftChars="228"/>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highlight w:val="none"/>
        </w:rPr>
        <w:t>1.2 项目编</w:t>
      </w:r>
      <w:r>
        <w:rPr>
          <w:rFonts w:hint="eastAsia" w:ascii="仿宋" w:hAnsi="仿宋" w:eastAsia="仿宋" w:cs="仿宋"/>
          <w:bCs/>
          <w:color w:val="auto"/>
          <w:spacing w:val="-2"/>
          <w:sz w:val="24"/>
          <w:highlight w:val="none"/>
          <w:lang w:eastAsia="zh-CN"/>
        </w:rPr>
        <w:t>号：JRZB-2025-Q051</w:t>
      </w:r>
    </w:p>
    <w:p w14:paraId="25A61390">
      <w:pPr>
        <w:spacing w:line="360" w:lineRule="auto"/>
        <w:ind w:firstLine="472" w:firstLineChars="200"/>
        <w:outlineLvl w:val="9"/>
        <w:rPr>
          <w:rFonts w:hint="eastAsia" w:ascii="仿宋" w:hAnsi="仿宋" w:eastAsia="仿宋" w:cs="仿宋"/>
          <w:bCs/>
          <w:color w:val="auto"/>
          <w:spacing w:val="-2"/>
          <w:sz w:val="24"/>
          <w:highlight w:val="none"/>
          <w:lang w:val="en-US" w:eastAsia="zh-CN"/>
        </w:rPr>
      </w:pPr>
      <w:r>
        <w:rPr>
          <w:rFonts w:hint="eastAsia" w:ascii="仿宋" w:hAnsi="仿宋" w:eastAsia="仿宋" w:cs="仿宋"/>
          <w:bCs/>
          <w:color w:val="auto"/>
          <w:spacing w:val="-2"/>
          <w:sz w:val="24"/>
        </w:rPr>
        <w:t xml:space="preserve">1.3 </w:t>
      </w:r>
      <w:r>
        <w:rPr>
          <w:rFonts w:hint="eastAsia" w:ascii="仿宋" w:hAnsi="仿宋" w:eastAsia="仿宋" w:cs="仿宋"/>
          <w:bCs/>
          <w:color w:val="auto"/>
          <w:spacing w:val="-2"/>
          <w:sz w:val="24"/>
          <w:highlight w:val="none"/>
        </w:rPr>
        <w:t>资金来源：</w:t>
      </w:r>
      <w:r>
        <w:rPr>
          <w:rFonts w:hint="eastAsia" w:ascii="仿宋" w:hAnsi="仿宋" w:eastAsia="仿宋" w:cs="仿宋"/>
          <w:bCs/>
          <w:color w:val="auto"/>
          <w:spacing w:val="-2"/>
          <w:sz w:val="24"/>
          <w:highlight w:val="none"/>
          <w:lang w:val="en-US" w:eastAsia="zh-CN"/>
        </w:rPr>
        <w:t>自筹资金</w:t>
      </w:r>
    </w:p>
    <w:p w14:paraId="58C630E9">
      <w:pPr>
        <w:spacing w:line="360" w:lineRule="auto"/>
        <w:ind w:firstLine="472" w:firstLineChars="200"/>
        <w:outlineLvl w:val="9"/>
        <w:rPr>
          <w:rFonts w:hint="eastAsia" w:ascii="仿宋" w:hAnsi="仿宋" w:eastAsia="仿宋" w:cs="仿宋"/>
          <w:bCs/>
          <w:color w:val="auto"/>
          <w:spacing w:val="-2"/>
          <w:sz w:val="24"/>
          <w:lang w:eastAsia="zh-CN"/>
        </w:rPr>
      </w:pPr>
      <w:r>
        <w:rPr>
          <w:rFonts w:hint="eastAsia" w:ascii="仿宋" w:hAnsi="仿宋" w:eastAsia="仿宋" w:cs="仿宋"/>
          <w:bCs/>
          <w:color w:val="auto"/>
          <w:spacing w:val="-2"/>
          <w:sz w:val="24"/>
        </w:rPr>
        <w:t>1.4 预算金额：</w:t>
      </w:r>
      <w:r>
        <w:rPr>
          <w:rFonts w:hint="eastAsia" w:ascii="仿宋" w:hAnsi="仿宋" w:eastAsia="仿宋" w:cs="仿宋"/>
          <w:color w:val="000000" w:themeColor="text1"/>
          <w:spacing w:val="-2"/>
          <w:sz w:val="24"/>
          <w:lang w:val="en-US" w:eastAsia="zh-CN"/>
          <w14:textFill>
            <w14:solidFill>
              <w14:schemeClr w14:val="tx1"/>
            </w14:solidFill>
          </w14:textFill>
        </w:rPr>
        <w:t>236700.00元（大写：贰拾叁万陆仟柒佰元整）</w:t>
      </w:r>
    </w:p>
    <w:p w14:paraId="7BF5D296">
      <w:pPr>
        <w:spacing w:line="360" w:lineRule="auto"/>
        <w:ind w:firstLine="472" w:firstLineChars="200"/>
        <w:rPr>
          <w:rFonts w:hint="default" w:ascii="仿宋" w:hAnsi="仿宋" w:eastAsia="仿宋" w:cs="仿宋"/>
          <w:bCs/>
          <w:color w:val="auto"/>
          <w:spacing w:val="-2"/>
          <w:sz w:val="24"/>
          <w:lang w:val="en-US" w:eastAsia="zh-CN"/>
        </w:rPr>
      </w:pPr>
      <w:r>
        <w:rPr>
          <w:rFonts w:hint="eastAsia" w:ascii="仿宋" w:hAnsi="仿宋" w:eastAsia="仿宋" w:cs="仿宋"/>
          <w:bCs/>
          <w:color w:val="auto"/>
          <w:spacing w:val="-2"/>
          <w:sz w:val="24"/>
          <w:lang w:val="en-US" w:eastAsia="zh-CN"/>
        </w:rPr>
        <w:t>1.5 采购属性：货物类</w:t>
      </w:r>
    </w:p>
    <w:p w14:paraId="3E04417C">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w:t>
      </w:r>
      <w:r>
        <w:rPr>
          <w:rFonts w:hint="eastAsia" w:ascii="仿宋" w:hAnsi="仿宋" w:eastAsia="仿宋" w:cs="仿宋"/>
          <w:bCs/>
          <w:color w:val="auto"/>
          <w:spacing w:val="-2"/>
          <w:sz w:val="24"/>
          <w:lang w:val="en-US" w:eastAsia="zh-CN"/>
        </w:rPr>
        <w:t>6</w:t>
      </w:r>
      <w:r>
        <w:rPr>
          <w:rFonts w:hint="eastAsia" w:ascii="仿宋" w:hAnsi="仿宋" w:eastAsia="仿宋" w:cs="仿宋"/>
          <w:bCs/>
          <w:color w:val="auto"/>
          <w:spacing w:val="-2"/>
          <w:sz w:val="24"/>
        </w:rPr>
        <w:t xml:space="preserve"> 项目内容：详细内容见第五章</w:t>
      </w:r>
    </w:p>
    <w:p w14:paraId="2E34B38B">
      <w:pPr>
        <w:pStyle w:val="2"/>
        <w:spacing w:line="360" w:lineRule="auto"/>
        <w:rPr>
          <w:rFonts w:hint="eastAsia" w:ascii="仿宋" w:hAnsi="仿宋" w:eastAsia="仿宋" w:cs="仿宋"/>
          <w:color w:val="auto"/>
          <w:sz w:val="24"/>
          <w:highlight w:val="none"/>
        </w:rPr>
      </w:pPr>
    </w:p>
    <w:p w14:paraId="22B65D97">
      <w:pPr>
        <w:spacing w:line="360" w:lineRule="auto"/>
        <w:ind w:firstLine="474" w:firstLineChars="200"/>
        <w:outlineLvl w:val="1"/>
        <w:rPr>
          <w:rFonts w:hint="eastAsia" w:ascii="仿宋" w:hAnsi="仿宋" w:eastAsia="仿宋" w:cs="仿宋"/>
          <w:color w:val="auto"/>
          <w:sz w:val="24"/>
          <w:highlight w:val="none"/>
        </w:rPr>
      </w:pPr>
      <w:r>
        <w:rPr>
          <w:rFonts w:hint="eastAsia" w:ascii="仿宋" w:hAnsi="仿宋" w:eastAsia="仿宋" w:cs="仿宋"/>
          <w:b/>
          <w:color w:val="auto"/>
          <w:spacing w:val="-2"/>
          <w:sz w:val="24"/>
          <w:highlight w:val="none"/>
        </w:rPr>
        <w:t>二、供应商参加本次采购活动应具备的条件、</w:t>
      </w:r>
      <w:r>
        <w:rPr>
          <w:rFonts w:hint="eastAsia" w:ascii="仿宋" w:hAnsi="仿宋" w:eastAsia="仿宋" w:cs="仿宋"/>
          <w:b/>
          <w:color w:val="auto"/>
          <w:sz w:val="24"/>
          <w:highlight w:val="none"/>
        </w:rPr>
        <w:t>邀请方式</w:t>
      </w:r>
    </w:p>
    <w:p w14:paraId="7F04FEDC">
      <w:pPr>
        <w:spacing w:line="360" w:lineRule="auto"/>
        <w:ind w:firstLine="473"/>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pacing w:val="-2"/>
          <w:sz w:val="24"/>
          <w:highlight w:val="none"/>
        </w:rPr>
        <w:t>2.1 供应商应具备的条件：</w:t>
      </w:r>
      <w:r>
        <w:rPr>
          <w:rFonts w:hint="eastAsia" w:ascii="仿宋" w:hAnsi="仿宋" w:eastAsia="仿宋" w:cs="仿宋"/>
          <w:bCs/>
          <w:color w:val="auto"/>
          <w:sz w:val="24"/>
          <w:highlight w:val="none"/>
        </w:rPr>
        <w:t>详细要求见</w:t>
      </w:r>
      <w:r>
        <w:rPr>
          <w:rFonts w:hint="eastAsia" w:ascii="仿宋" w:hAnsi="仿宋" w:eastAsia="仿宋" w:cs="仿宋"/>
          <w:bCs/>
          <w:color w:val="auto"/>
          <w:sz w:val="24"/>
          <w:szCs w:val="24"/>
          <w:highlight w:val="none"/>
        </w:rPr>
        <w:t>谈判文件</w:t>
      </w:r>
      <w:r>
        <w:rPr>
          <w:rFonts w:hint="eastAsia" w:ascii="仿宋" w:hAnsi="仿宋" w:eastAsia="仿宋" w:cs="仿宋"/>
          <w:bCs/>
          <w:color w:val="auto"/>
          <w:sz w:val="24"/>
          <w:highlight w:val="none"/>
        </w:rPr>
        <w:t>第三章</w:t>
      </w:r>
      <w:r>
        <w:rPr>
          <w:rFonts w:hint="eastAsia" w:ascii="仿宋" w:hAnsi="仿宋" w:eastAsia="仿宋" w:cs="仿宋"/>
          <w:bCs/>
          <w:color w:val="auto"/>
          <w:sz w:val="24"/>
          <w:highlight w:val="none"/>
          <w:lang w:eastAsia="zh-CN"/>
        </w:rPr>
        <w:t>。</w:t>
      </w:r>
    </w:p>
    <w:p w14:paraId="034C95E5">
      <w:pPr>
        <w:wordWrap w:val="0"/>
        <w:spacing w:line="360" w:lineRule="auto"/>
        <w:ind w:left="951" w:leftChars="228" w:hanging="472" w:hangingChars="200"/>
        <w:outlineLvl w:val="9"/>
        <w:rPr>
          <w:rFonts w:ascii="仿宋" w:hAnsi="仿宋" w:eastAsia="仿宋" w:cs="仿宋"/>
          <w:bCs/>
          <w:color w:val="auto"/>
          <w:spacing w:val="2"/>
          <w:sz w:val="24"/>
          <w:highlight w:val="none"/>
        </w:rPr>
      </w:pPr>
      <w:r>
        <w:rPr>
          <w:rFonts w:hint="eastAsia" w:ascii="仿宋" w:hAnsi="仿宋" w:eastAsia="仿宋" w:cs="仿宋"/>
          <w:color w:val="auto"/>
          <w:spacing w:val="-2"/>
          <w:sz w:val="24"/>
          <w:highlight w:val="none"/>
        </w:rPr>
        <w:t>2.2 供应商邀请方式：</w:t>
      </w:r>
      <w:r>
        <w:rPr>
          <w:rFonts w:hint="eastAsia" w:ascii="仿宋" w:hAnsi="仿宋" w:eastAsia="仿宋" w:cs="仿宋"/>
          <w:bCs w:val="0"/>
          <w:color w:val="auto"/>
          <w:spacing w:val="-2"/>
          <w:sz w:val="24"/>
          <w:highlight w:val="none"/>
          <w:shd w:val="clear" w:color="auto" w:fill="auto"/>
        </w:rPr>
        <w:t>本次竞争性</w:t>
      </w:r>
      <w:r>
        <w:rPr>
          <w:rFonts w:hint="eastAsia" w:ascii="仿宋" w:hAnsi="仿宋" w:eastAsia="仿宋" w:cs="仿宋"/>
          <w:bCs w:val="0"/>
          <w:color w:val="auto"/>
          <w:spacing w:val="-2"/>
          <w:sz w:val="24"/>
          <w:highlight w:val="none"/>
          <w:shd w:val="clear" w:color="auto" w:fill="auto"/>
          <w:lang w:eastAsia="zh-CN"/>
        </w:rPr>
        <w:t>谈判</w:t>
      </w:r>
      <w:r>
        <w:rPr>
          <w:rFonts w:hint="eastAsia" w:ascii="仿宋" w:hAnsi="仿宋" w:eastAsia="仿宋" w:cs="仿宋"/>
          <w:bCs w:val="0"/>
          <w:color w:val="auto"/>
          <w:spacing w:val="-2"/>
          <w:sz w:val="24"/>
          <w:highlight w:val="none"/>
          <w:shd w:val="clear" w:color="auto" w:fill="auto"/>
        </w:rPr>
        <w:t>邀请在</w:t>
      </w:r>
      <w:r>
        <w:rPr>
          <w:rFonts w:hint="eastAsia" w:ascii="仿宋" w:hAnsi="仿宋" w:eastAsia="仿宋" w:cs="仿宋"/>
          <w:bCs w:val="0"/>
          <w:color w:val="auto"/>
          <w:spacing w:val="-2"/>
          <w:sz w:val="24"/>
          <w:highlight w:val="none"/>
          <w:shd w:val="clear" w:color="auto" w:fill="auto"/>
          <w:lang w:val="en-US" w:eastAsia="zh-CN"/>
        </w:rPr>
        <w:t>四川招投标网（www.scbid.com）</w:t>
      </w:r>
      <w:r>
        <w:rPr>
          <w:rFonts w:hint="eastAsia" w:ascii="仿宋" w:hAnsi="仿宋" w:eastAsia="仿宋" w:cs="仿宋"/>
          <w:bCs w:val="0"/>
          <w:color w:val="auto"/>
          <w:spacing w:val="-2"/>
          <w:sz w:val="24"/>
          <w:highlight w:val="none"/>
          <w:shd w:val="clear" w:color="auto" w:fill="auto"/>
          <w:lang w:val="zh-CN"/>
        </w:rPr>
        <w:t>上以公告形式发布</w:t>
      </w:r>
      <w:r>
        <w:rPr>
          <w:rFonts w:hint="eastAsia" w:ascii="仿宋" w:hAnsi="仿宋" w:eastAsia="仿宋" w:cs="仿宋"/>
          <w:bCs/>
          <w:color w:val="auto"/>
          <w:spacing w:val="2"/>
          <w:sz w:val="24"/>
          <w:highlight w:val="none"/>
          <w:lang w:val="zh-CN"/>
        </w:rPr>
        <w:t>。</w:t>
      </w:r>
    </w:p>
    <w:p w14:paraId="7B9D58E0">
      <w:pPr>
        <w:pStyle w:val="2"/>
        <w:spacing w:line="360" w:lineRule="auto"/>
        <w:rPr>
          <w:rFonts w:hint="eastAsia" w:ascii="仿宋" w:hAnsi="仿宋" w:eastAsia="仿宋" w:cs="仿宋"/>
          <w:color w:val="auto"/>
          <w:sz w:val="24"/>
          <w:highlight w:val="none"/>
        </w:rPr>
      </w:pPr>
    </w:p>
    <w:p w14:paraId="0CAE1A70">
      <w:pPr>
        <w:pStyle w:val="87"/>
        <w:spacing w:line="360" w:lineRule="auto"/>
        <w:ind w:firstLine="480" w:firstLineChars="0"/>
        <w:outlineLvl w:val="1"/>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三、获取采购文件的时间、地点、方式、售价及须提供的资料</w:t>
      </w:r>
    </w:p>
    <w:p w14:paraId="1BF978FC">
      <w:pPr>
        <w:pStyle w:val="87"/>
        <w:spacing w:line="360" w:lineRule="auto"/>
        <w:ind w:left="959" w:leftChars="228" w:hanging="480" w:hanging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获取采购文件的时间：</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31</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lang w:val="en-US" w:eastAsia="zh-CN"/>
        </w:rPr>
        <w:t>2025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日上午09:00-12:00，下午14:00-17:00(北京时间，法定节假</w:t>
      </w:r>
      <w:r>
        <w:rPr>
          <w:rFonts w:hint="eastAsia" w:ascii="仿宋" w:hAnsi="仿宋" w:eastAsia="仿宋" w:cs="仿宋"/>
          <w:color w:val="auto"/>
          <w:spacing w:val="-2"/>
          <w:sz w:val="24"/>
          <w:szCs w:val="24"/>
          <w:highlight w:val="none"/>
        </w:rPr>
        <w:t>日除外)。</w:t>
      </w:r>
    </w:p>
    <w:p w14:paraId="7C965BF5">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获取采购文件的地点：自贡市自流井区汇东丹桂大街蓝鹰海岸综合楼二楼四川久润</w:t>
      </w:r>
      <w:r>
        <w:rPr>
          <w:rFonts w:hint="eastAsia" w:ascii="仿宋" w:hAnsi="仿宋" w:eastAsia="仿宋" w:cs="仿宋"/>
          <w:color w:val="auto"/>
          <w:kern w:val="0"/>
          <w:sz w:val="24"/>
          <w:szCs w:val="24"/>
          <w:highlight w:val="none"/>
        </w:rPr>
        <w:t>招投标代理有限公司获取。</w:t>
      </w:r>
    </w:p>
    <w:p w14:paraId="6FA9D8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 获取采购文件的方式：</w:t>
      </w:r>
    </w:p>
    <w:p w14:paraId="2A1BDA43">
      <w:pPr>
        <w:spacing w:line="360" w:lineRule="auto"/>
        <w:ind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（1）代理机构现场办理；</w:t>
      </w:r>
    </w:p>
    <w:p w14:paraId="2D3139B7">
      <w:pPr>
        <w:spacing w:line="360" w:lineRule="auto"/>
        <w:ind w:left="957" w:leftChars="400" w:hanging="117" w:hangingChars="49"/>
        <w:rPr>
          <w:rFonts w:hint="eastAsia" w:ascii="仿宋" w:hAnsi="仿宋" w:eastAsia="仿宋" w:cs="仿宋"/>
          <w:color w:val="auto"/>
          <w:sz w:val="24"/>
          <w:highlight w:val="none"/>
          <w:lang w:eastAsia="zh-CN"/>
        </w:rPr>
      </w:pPr>
      <w:r>
        <w:rPr>
          <w:rStyle w:val="32"/>
          <w:rFonts w:hint="eastAsia" w:ascii="仿宋" w:hAnsi="仿宋" w:eastAsia="仿宋" w:cs="仿宋"/>
          <w:color w:val="auto"/>
          <w:sz w:val="24"/>
          <w:szCs w:val="24"/>
          <w:highlight w:val="none"/>
        </w:rPr>
        <w:t>（2）若需邮购，请将报名资料传至jrzb8222@126.com</w:t>
      </w:r>
      <w:r>
        <w:rPr>
          <w:rStyle w:val="32"/>
          <w:rFonts w:hint="eastAsia" w:ascii="仿宋" w:hAnsi="仿宋" w:eastAsia="仿宋" w:cs="仿宋"/>
          <w:color w:val="auto"/>
          <w:sz w:val="24"/>
          <w:szCs w:val="24"/>
          <w:highlight w:val="none"/>
          <w:lang w:eastAsia="zh-CN"/>
        </w:rPr>
        <w:t>。</w:t>
      </w:r>
    </w:p>
    <w:p w14:paraId="5E235DAB">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注：采购文件售后不退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谈判资格不能转让。</w:t>
      </w:r>
    </w:p>
    <w:p w14:paraId="122760E0">
      <w:pPr>
        <w:pStyle w:val="87"/>
        <w:spacing w:line="360" w:lineRule="auto"/>
        <w:ind w:firstLine="48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 获取采购文件的售价：</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元/份。</w:t>
      </w:r>
    </w:p>
    <w:p w14:paraId="3F10D50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 获取采购文件时，须提供以下资料</w:t>
      </w:r>
      <w:r>
        <w:rPr>
          <w:rFonts w:hint="eastAsia" w:ascii="仿宋" w:hAnsi="仿宋" w:eastAsia="仿宋" w:cs="仿宋"/>
          <w:b/>
          <w:color w:val="auto"/>
          <w:sz w:val="24"/>
          <w:highlight w:val="none"/>
        </w:rPr>
        <w:t>：</w:t>
      </w:r>
    </w:p>
    <w:p w14:paraId="79CF9DAE">
      <w:pPr>
        <w:pStyle w:val="2"/>
        <w:spacing w:line="360" w:lineRule="auto"/>
        <w:ind w:left="448"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（1）单位介绍信加盖公章；</w:t>
      </w:r>
    </w:p>
    <w:p w14:paraId="1012C1D4">
      <w:pPr>
        <w:pStyle w:val="2"/>
        <w:spacing w:line="360" w:lineRule="auto"/>
        <w:ind w:left="448"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（2）经办人身份证</w:t>
      </w:r>
      <w:r>
        <w:rPr>
          <w:rFonts w:hint="eastAsia" w:ascii="仿宋" w:hAnsi="仿宋" w:eastAsia="仿宋" w:cs="仿宋"/>
          <w:color w:val="auto"/>
          <w:sz w:val="24"/>
          <w:highlight w:val="none"/>
          <w:lang w:eastAsia="zh-CN"/>
        </w:rPr>
        <w:t>影印件</w:t>
      </w:r>
      <w:r>
        <w:rPr>
          <w:rFonts w:hint="eastAsia" w:ascii="仿宋" w:hAnsi="仿宋" w:eastAsia="仿宋" w:cs="仿宋"/>
          <w:color w:val="auto"/>
          <w:sz w:val="24"/>
          <w:highlight w:val="none"/>
        </w:rPr>
        <w:t>加盖公章；</w:t>
      </w:r>
    </w:p>
    <w:p w14:paraId="24F3E535">
      <w:pPr>
        <w:pStyle w:val="87"/>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（3）供应商报名登记表加盖公章。</w:t>
      </w:r>
    </w:p>
    <w:p w14:paraId="6E42EB8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3.6 </w:t>
      </w:r>
      <w:r>
        <w:rPr>
          <w:rFonts w:hint="eastAsia" w:ascii="仿宋" w:hAnsi="仿宋" w:eastAsia="仿宋" w:cs="仿宋"/>
          <w:color w:val="auto"/>
          <w:sz w:val="24"/>
          <w:highlight w:val="none"/>
          <w:lang w:eastAsia="zh-CN"/>
        </w:rPr>
        <w:t>标书费用收款</w:t>
      </w:r>
      <w:r>
        <w:rPr>
          <w:rFonts w:hint="eastAsia" w:ascii="仿宋" w:hAnsi="仿宋" w:eastAsia="仿宋" w:cs="仿宋"/>
          <w:color w:val="auto"/>
          <w:sz w:val="24"/>
          <w:highlight w:val="none"/>
        </w:rPr>
        <w:t>账户：</w:t>
      </w:r>
    </w:p>
    <w:p w14:paraId="383FEEB7">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户  名：四川久润招投标代理有限公司</w:t>
      </w:r>
    </w:p>
    <w:p w14:paraId="0CAFD8DD">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账</w:t>
      </w:r>
      <w:r>
        <w:rPr>
          <w:rFonts w:hint="eastAsia" w:ascii="仿宋" w:hAnsi="仿宋" w:eastAsia="仿宋" w:cs="仿宋"/>
          <w:color w:val="auto"/>
          <w:sz w:val="24"/>
          <w:highlight w:val="none"/>
        </w:rPr>
        <w:t xml:space="preserve">  号：102012000001139849</w:t>
      </w:r>
    </w:p>
    <w:p w14:paraId="6E3C5890">
      <w:pPr>
        <w:spacing w:line="360" w:lineRule="auto"/>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开户行：自贡银行股份有限公司营业部</w:t>
      </w:r>
    </w:p>
    <w:p w14:paraId="1495E839">
      <w:pPr>
        <w:pStyle w:val="2"/>
        <w:spacing w:line="360" w:lineRule="auto"/>
        <w:rPr>
          <w:rFonts w:hint="eastAsia" w:ascii="仿宋" w:hAnsi="仿宋" w:eastAsia="仿宋" w:cs="仿宋"/>
          <w:color w:val="auto"/>
          <w:sz w:val="24"/>
          <w:highlight w:val="none"/>
        </w:rPr>
      </w:pPr>
    </w:p>
    <w:p w14:paraId="213BA19E">
      <w:pPr>
        <w:pStyle w:val="87"/>
        <w:spacing w:line="360" w:lineRule="auto"/>
        <w:ind w:firstLine="480" w:firstLineChars="0"/>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四、响应文件的递交时间、地点和接收</w:t>
      </w:r>
    </w:p>
    <w:p w14:paraId="0E1400C9">
      <w:pPr>
        <w:pStyle w:val="87"/>
        <w:spacing w:line="360" w:lineRule="auto"/>
        <w:ind w:firstLine="48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4.1 响应文件的递交时间：</w:t>
      </w:r>
      <w:r>
        <w:rPr>
          <w:rFonts w:hint="eastAsia" w:ascii="仿宋" w:hAnsi="仿宋" w:eastAsia="仿宋" w:cs="仿宋"/>
          <w:b/>
          <w:bCs/>
          <w:color w:val="auto"/>
          <w:sz w:val="24"/>
          <w:szCs w:val="24"/>
          <w:highlight w:val="none"/>
          <w:lang w:val="en-US" w:eastAsia="zh-CN"/>
        </w:rPr>
        <w:t>2025</w:t>
      </w:r>
      <w:r>
        <w:rPr>
          <w:rFonts w:hint="eastAsia" w:ascii="仿宋" w:hAnsi="仿宋" w:eastAsia="仿宋" w:cs="仿宋"/>
          <w:b/>
          <w:bCs/>
          <w:color w:val="auto"/>
          <w:sz w:val="24"/>
          <w:highlight w:val="none"/>
        </w:rPr>
        <w:t>年</w:t>
      </w:r>
      <w:r>
        <w:rPr>
          <w:rFonts w:hint="eastAsia" w:ascii="仿宋" w:hAnsi="仿宋" w:eastAsia="仿宋" w:cs="仿宋"/>
          <w:b/>
          <w:bCs/>
          <w:color w:val="auto"/>
          <w:sz w:val="24"/>
          <w:highlight w:val="none"/>
          <w:lang w:val="en-US" w:eastAsia="zh-CN"/>
        </w:rPr>
        <w:t>4</w:t>
      </w:r>
      <w:r>
        <w:rPr>
          <w:rFonts w:hint="eastAsia" w:ascii="仿宋" w:hAnsi="仿宋" w:eastAsia="仿宋" w:cs="仿宋"/>
          <w:b/>
          <w:bCs/>
          <w:color w:val="auto"/>
          <w:sz w:val="24"/>
          <w:highlight w:val="none"/>
        </w:rPr>
        <w:t>月</w:t>
      </w:r>
      <w:r>
        <w:rPr>
          <w:rFonts w:hint="eastAsia" w:ascii="仿宋" w:hAnsi="仿宋" w:eastAsia="仿宋" w:cs="仿宋"/>
          <w:b/>
          <w:bCs/>
          <w:color w:val="auto"/>
          <w:sz w:val="24"/>
          <w:highlight w:val="none"/>
          <w:lang w:val="en-US" w:eastAsia="zh-CN"/>
        </w:rPr>
        <w:t>3</w:t>
      </w:r>
      <w:r>
        <w:rPr>
          <w:rFonts w:hint="eastAsia" w:ascii="仿宋" w:hAnsi="仿宋" w:eastAsia="仿宋" w:cs="仿宋"/>
          <w:b/>
          <w:bCs/>
          <w:color w:val="auto"/>
          <w:sz w:val="24"/>
          <w:highlight w:val="none"/>
        </w:rPr>
        <w:t>日</w:t>
      </w:r>
      <w:r>
        <w:rPr>
          <w:rFonts w:hint="eastAsia" w:ascii="仿宋" w:hAnsi="仿宋" w:eastAsia="仿宋" w:cs="仿宋"/>
          <w:b/>
          <w:bCs/>
          <w:color w:val="auto"/>
          <w:sz w:val="24"/>
          <w:highlight w:val="none"/>
          <w:lang w:val="en-US" w:eastAsia="zh-CN"/>
        </w:rPr>
        <w:t>14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30</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15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0（北京时间）</w:t>
      </w:r>
      <w:r>
        <w:rPr>
          <w:rFonts w:hint="eastAsia" w:ascii="仿宋" w:hAnsi="仿宋" w:eastAsia="仿宋" w:cs="仿宋"/>
          <w:b/>
          <w:color w:val="auto"/>
          <w:sz w:val="24"/>
          <w:highlight w:val="none"/>
          <w:lang w:eastAsia="zh-CN"/>
        </w:rPr>
        <w:t>。</w:t>
      </w:r>
    </w:p>
    <w:p w14:paraId="2A842249">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 响应文件的递交地点：自贡市自流井区汇东丹桂大街蓝鹰海岸综合楼二楼四川久润招投标代理有限公司开标3厅。</w:t>
      </w:r>
    </w:p>
    <w:p w14:paraId="286C39A3">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14:paraId="5E6C443B">
      <w:pPr>
        <w:pStyle w:val="2"/>
        <w:spacing w:line="360" w:lineRule="auto"/>
        <w:rPr>
          <w:rFonts w:hint="eastAsia" w:ascii="仿宋" w:hAnsi="仿宋" w:eastAsia="仿宋" w:cs="仿宋"/>
          <w:color w:val="auto"/>
          <w:sz w:val="24"/>
          <w:highlight w:val="none"/>
        </w:rPr>
      </w:pPr>
    </w:p>
    <w:p w14:paraId="053F15FA">
      <w:pPr>
        <w:spacing w:line="360" w:lineRule="auto"/>
        <w:ind w:firstLine="482" w:firstLineChars="200"/>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五、</w:t>
      </w:r>
      <w:r>
        <w:rPr>
          <w:rFonts w:hint="eastAsia" w:ascii="仿宋" w:hAnsi="仿宋" w:eastAsia="仿宋" w:cs="仿宋"/>
          <w:b/>
          <w:color w:val="auto"/>
          <w:sz w:val="24"/>
          <w:highlight w:val="none"/>
          <w:lang w:val="zh-CN"/>
        </w:rPr>
        <w:t>递交响应</w:t>
      </w:r>
      <w:r>
        <w:rPr>
          <w:rFonts w:hint="eastAsia" w:ascii="仿宋" w:hAnsi="仿宋" w:eastAsia="仿宋" w:cs="仿宋"/>
          <w:b/>
          <w:color w:val="auto"/>
          <w:kern w:val="0"/>
          <w:sz w:val="24"/>
          <w:highlight w:val="none"/>
          <w:lang w:val="zh-CN"/>
        </w:rPr>
        <w:t>文件</w:t>
      </w:r>
      <w:r>
        <w:rPr>
          <w:rFonts w:hint="eastAsia" w:ascii="仿宋" w:hAnsi="仿宋" w:eastAsia="仿宋" w:cs="仿宋"/>
          <w:b/>
          <w:color w:val="auto"/>
          <w:sz w:val="24"/>
          <w:highlight w:val="none"/>
        </w:rPr>
        <w:t>截止时间、谈判时间及地点</w:t>
      </w:r>
    </w:p>
    <w:p w14:paraId="44CE7FB0">
      <w:pPr>
        <w:pStyle w:val="2"/>
        <w:spacing w:line="360" w:lineRule="auto"/>
        <w:ind w:firstLine="480" w:firstLineChars="200"/>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 xml:space="preserve">5.1 </w:t>
      </w:r>
      <w:r>
        <w:rPr>
          <w:rFonts w:hint="eastAsia" w:ascii="仿宋" w:hAnsi="仿宋" w:eastAsia="仿宋" w:cs="仿宋"/>
          <w:color w:val="auto"/>
          <w:sz w:val="24"/>
          <w:highlight w:val="none"/>
          <w:lang w:val="zh-CN"/>
        </w:rPr>
        <w:t>递交响应</w:t>
      </w:r>
      <w:r>
        <w:rPr>
          <w:rFonts w:hint="eastAsia" w:ascii="仿宋" w:hAnsi="仿宋" w:eastAsia="仿宋" w:cs="仿宋"/>
          <w:color w:val="auto"/>
          <w:kern w:val="0"/>
          <w:sz w:val="24"/>
          <w:highlight w:val="none"/>
          <w:lang w:val="zh-CN"/>
        </w:rPr>
        <w:t>文件</w:t>
      </w:r>
      <w:r>
        <w:rPr>
          <w:rFonts w:hint="eastAsia" w:ascii="仿宋" w:hAnsi="仿宋" w:eastAsia="仿宋" w:cs="仿宋"/>
          <w:color w:val="auto"/>
          <w:sz w:val="24"/>
          <w:highlight w:val="none"/>
        </w:rPr>
        <w:t>截止时间、谈判时间</w:t>
      </w:r>
      <w:r>
        <w:rPr>
          <w:rFonts w:hint="eastAsia" w:ascii="仿宋" w:hAnsi="仿宋" w:eastAsia="仿宋" w:cs="仿宋"/>
          <w:b/>
          <w:color w:val="auto"/>
          <w:sz w:val="24"/>
          <w:highlight w:val="none"/>
          <w:lang w:val="en-US" w:eastAsia="zh-CN"/>
        </w:rPr>
        <w:t>:2025</w:t>
      </w:r>
      <w:r>
        <w:rPr>
          <w:rFonts w:hint="eastAsia" w:ascii="仿宋" w:hAnsi="仿宋" w:eastAsia="仿宋" w:cs="仿宋"/>
          <w:b/>
          <w:color w:val="auto"/>
          <w:sz w:val="24"/>
          <w:highlight w:val="none"/>
        </w:rPr>
        <w:t>年</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月</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日</w:t>
      </w:r>
      <w:r>
        <w:rPr>
          <w:rFonts w:hint="eastAsia" w:ascii="仿宋" w:hAnsi="仿宋" w:eastAsia="仿宋" w:cs="仿宋"/>
          <w:b/>
          <w:color w:val="auto"/>
          <w:sz w:val="24"/>
          <w:highlight w:val="none"/>
          <w:lang w:val="en-US" w:eastAsia="zh-CN"/>
        </w:rPr>
        <w:t>15</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00</w:t>
      </w:r>
      <w:r>
        <w:rPr>
          <w:rFonts w:hint="eastAsia" w:ascii="仿宋" w:hAnsi="仿宋" w:eastAsia="仿宋" w:cs="仿宋"/>
          <w:b/>
          <w:color w:val="auto"/>
          <w:sz w:val="24"/>
          <w:highlight w:val="none"/>
        </w:rPr>
        <w:t>（北京时间）</w:t>
      </w:r>
      <w:r>
        <w:rPr>
          <w:rFonts w:hint="eastAsia" w:ascii="仿宋" w:hAnsi="仿宋" w:eastAsia="仿宋" w:cs="仿宋"/>
          <w:b/>
          <w:color w:val="auto"/>
          <w:sz w:val="24"/>
          <w:highlight w:val="none"/>
          <w:lang w:eastAsia="zh-CN"/>
        </w:rPr>
        <w:t>。</w:t>
      </w:r>
    </w:p>
    <w:p w14:paraId="3031954D">
      <w:pPr>
        <w:spacing w:line="360" w:lineRule="auto"/>
        <w:ind w:left="959" w:leftChars="228" w:hanging="480" w:hanging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 谈判地点：自贡市自流井区汇东丹桂大街蓝鹰海岸综合楼二楼四川久润招投标代理有限公司</w:t>
      </w:r>
      <w:r>
        <w:rPr>
          <w:rFonts w:hint="eastAsia" w:ascii="仿宋" w:hAnsi="仿宋" w:eastAsia="仿宋" w:cs="仿宋"/>
          <w:color w:val="auto"/>
          <w:sz w:val="24"/>
          <w:highlight w:val="none"/>
          <w:lang w:eastAsia="zh-CN"/>
        </w:rPr>
        <w:t>评审室</w:t>
      </w:r>
      <w:r>
        <w:rPr>
          <w:rFonts w:hint="eastAsia" w:ascii="仿宋" w:hAnsi="仿宋" w:eastAsia="仿宋" w:cs="仿宋"/>
          <w:color w:val="auto"/>
          <w:sz w:val="24"/>
          <w:highlight w:val="none"/>
        </w:rPr>
        <w:t>。</w:t>
      </w:r>
    </w:p>
    <w:p w14:paraId="098E059C">
      <w:pPr>
        <w:pStyle w:val="2"/>
        <w:spacing w:line="360" w:lineRule="auto"/>
        <w:rPr>
          <w:rFonts w:hint="eastAsia" w:ascii="仿宋" w:hAnsi="仿宋" w:eastAsia="仿宋" w:cs="仿宋"/>
          <w:color w:val="auto"/>
          <w:sz w:val="24"/>
          <w:highlight w:val="none"/>
        </w:rPr>
      </w:pPr>
    </w:p>
    <w:p w14:paraId="359C086E">
      <w:pPr>
        <w:spacing w:line="360" w:lineRule="auto"/>
        <w:ind w:firstLine="490" w:firstLineChars="200"/>
        <w:outlineLvl w:val="1"/>
        <w:rPr>
          <w:rFonts w:hint="eastAsia" w:ascii="仿宋" w:hAnsi="仿宋" w:eastAsia="仿宋" w:cs="仿宋"/>
          <w:color w:val="auto"/>
          <w:sz w:val="24"/>
          <w:highlight w:val="none"/>
        </w:rPr>
      </w:pPr>
      <w:r>
        <w:rPr>
          <w:rFonts w:hint="eastAsia" w:ascii="仿宋" w:hAnsi="仿宋" w:eastAsia="仿宋" w:cs="仿宋"/>
          <w:b/>
          <w:color w:val="auto"/>
          <w:spacing w:val="2"/>
          <w:sz w:val="24"/>
          <w:highlight w:val="none"/>
        </w:rPr>
        <w:t>六、联系方式</w:t>
      </w:r>
    </w:p>
    <w:p w14:paraId="3858C113">
      <w:pPr>
        <w:pStyle w:val="87"/>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采购人：富顺县中医医院</w:t>
      </w:r>
    </w:p>
    <w:p w14:paraId="283B2B96">
      <w:pPr>
        <w:pStyle w:val="87"/>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地址：自贡市富顺县东湖大道1801号</w:t>
      </w:r>
    </w:p>
    <w:p w14:paraId="394198C7">
      <w:pPr>
        <w:pStyle w:val="87"/>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联系人：聂老师</w:t>
      </w:r>
    </w:p>
    <w:p w14:paraId="51243BCF">
      <w:pPr>
        <w:pStyle w:val="87"/>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联系电话：0813-5197655</w:t>
      </w:r>
    </w:p>
    <w:p w14:paraId="6AB4A37B">
      <w:pPr>
        <w:pStyle w:val="87"/>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ascii="仿宋" w:hAnsi="仿宋" w:eastAsia="仿宋" w:cs="仿宋"/>
          <w:b/>
          <w:color w:val="auto"/>
          <w:sz w:val="24"/>
          <w:szCs w:val="24"/>
        </w:rPr>
      </w:pPr>
      <w:r>
        <w:rPr>
          <w:rFonts w:hint="eastAsia" w:ascii="仿宋" w:hAnsi="仿宋" w:eastAsia="仿宋" w:cs="仿宋"/>
          <w:b/>
          <w:color w:val="auto"/>
          <w:sz w:val="24"/>
          <w:szCs w:val="24"/>
          <w:highlight w:val="none"/>
        </w:rPr>
        <w:t>采购代理机构：四川久润招投标代理有限公</w:t>
      </w:r>
      <w:r>
        <w:rPr>
          <w:rFonts w:hint="eastAsia" w:ascii="仿宋" w:hAnsi="仿宋" w:eastAsia="仿宋" w:cs="仿宋"/>
          <w:b/>
          <w:color w:val="auto"/>
          <w:sz w:val="24"/>
          <w:szCs w:val="24"/>
        </w:rPr>
        <w:t>司</w:t>
      </w:r>
    </w:p>
    <w:p w14:paraId="7F706903">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地</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址：</w:t>
      </w:r>
      <w:r>
        <w:rPr>
          <w:rFonts w:hint="eastAsia" w:ascii="仿宋" w:hAnsi="仿宋" w:eastAsia="仿宋" w:cs="仿宋"/>
          <w:color w:val="auto"/>
          <w:lang w:val="zh-CN"/>
        </w:rPr>
        <w:t>自贡市自流井区汇东丹桂大街蓝鹰海岸综合楼二楼</w:t>
      </w:r>
    </w:p>
    <w:p w14:paraId="28933437">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lang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杨女士</w:t>
      </w:r>
    </w:p>
    <w:p w14:paraId="56A2CA39">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 xml:space="preserve">电  </w:t>
      </w:r>
      <w:r>
        <w:rPr>
          <w:rFonts w:hint="eastAsia" w:ascii="仿宋" w:hAnsi="仿宋" w:eastAsia="仿宋" w:cs="仿宋"/>
          <w:color w:val="auto"/>
          <w:lang w:val="en-US" w:eastAsia="zh-CN"/>
        </w:rPr>
        <w:t xml:space="preserve">  </w:t>
      </w:r>
      <w:r>
        <w:rPr>
          <w:rFonts w:hint="eastAsia" w:ascii="仿宋" w:hAnsi="仿宋" w:eastAsia="仿宋" w:cs="仿宋"/>
          <w:color w:val="auto"/>
        </w:rPr>
        <w:t>话：</w:t>
      </w:r>
      <w:r>
        <w:rPr>
          <w:rFonts w:hint="eastAsia" w:ascii="仿宋" w:hAnsi="仿宋" w:eastAsia="仿宋" w:cs="仿宋"/>
          <w:color w:val="auto"/>
          <w:lang w:val="zh-CN"/>
        </w:rPr>
        <w:t>0813-8108222</w:t>
      </w:r>
    </w:p>
    <w:p w14:paraId="06D91DD1">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rPr>
      </w:pPr>
      <w:r>
        <w:rPr>
          <w:rFonts w:hint="eastAsia" w:ascii="仿宋" w:hAnsi="仿宋" w:eastAsia="仿宋" w:cs="仿宋"/>
          <w:color w:val="auto"/>
        </w:rPr>
        <w:t>电子邮件：jrzb8222@126.com</w:t>
      </w:r>
    </w:p>
    <w:bookmarkEnd w:id="9"/>
    <w:bookmarkEnd w:id="10"/>
    <w:bookmarkEnd w:id="11"/>
    <w:p w14:paraId="03DCEC9C">
      <w:pPr>
        <w:pStyle w:val="87"/>
        <w:spacing w:line="360" w:lineRule="auto"/>
        <w:ind w:firstLine="480" w:firstLineChars="0"/>
        <w:outlineLvl w:val="9"/>
        <w:rPr>
          <w:rFonts w:hint="eastAsia" w:ascii="仿宋" w:hAnsi="仿宋" w:eastAsia="仿宋" w:cs="仿宋"/>
          <w:b/>
          <w:color w:val="auto"/>
          <w:sz w:val="24"/>
          <w:szCs w:val="24"/>
          <w:lang w:eastAsia="zh-CN"/>
        </w:rPr>
      </w:pPr>
      <w:bookmarkStart w:id="12" w:name="_Toc14619"/>
      <w:bookmarkStart w:id="13" w:name="_Toc12394"/>
      <w:bookmarkStart w:id="14" w:name="_Toc32543"/>
      <w:bookmarkStart w:id="15" w:name="_Toc24228"/>
    </w:p>
    <w:p w14:paraId="35C8F558">
      <w:pPr>
        <w:pStyle w:val="22"/>
        <w:keepNext w:val="0"/>
        <w:keepLines w:val="0"/>
        <w:pageBreakBefore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color w:val="auto"/>
        </w:rPr>
        <w:sectPr>
          <w:footerReference r:id="rId9" w:type="default"/>
          <w:pgSz w:w="11850" w:h="16783"/>
          <w:pgMar w:top="1440" w:right="1531" w:bottom="1440" w:left="164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32E0471">
      <w:pPr>
        <w:keepNext w:val="0"/>
        <w:keepLines w:val="0"/>
        <w:pageBreakBefore w:val="0"/>
        <w:widowControl w:val="0"/>
        <w:kinsoku/>
        <w:wordWrap/>
        <w:overflowPunct/>
        <w:topLinePunct w:val="0"/>
        <w:autoSpaceDE/>
        <w:autoSpaceDN/>
        <w:bidi w:val="0"/>
        <w:adjustRightInd/>
        <w:snapToGrid/>
        <w:spacing w:before="157" w:beforeLines="50" w:after="313" w:afterLines="100"/>
        <w:ind w:left="0" w:leftChars="0" w:firstLine="0" w:firstLineChars="0"/>
        <w:jc w:val="center"/>
        <w:textAlignment w:val="auto"/>
        <w:outlineLvl w:val="0"/>
        <w:rPr>
          <w:rFonts w:hint="eastAsia" w:ascii="仿宋" w:hAnsi="仿宋" w:eastAsia="仿宋" w:cs="仿宋"/>
          <w:color w:val="auto"/>
        </w:rPr>
      </w:pPr>
      <w:bookmarkStart w:id="16" w:name="_Toc2195"/>
      <w:bookmarkStart w:id="17" w:name="_Toc29609"/>
      <w:r>
        <w:rPr>
          <w:rFonts w:hint="eastAsia" w:ascii="仿宋" w:hAnsi="仿宋" w:eastAsia="仿宋" w:cs="仿宋"/>
          <w:b/>
          <w:bCs/>
          <w:color w:val="auto"/>
          <w:spacing w:val="-2"/>
          <w:sz w:val="36"/>
          <w:szCs w:val="36"/>
        </w:rPr>
        <w:t>第二章</w:t>
      </w:r>
      <w:r>
        <w:rPr>
          <w:rFonts w:hint="eastAsia" w:ascii="仿宋" w:hAnsi="仿宋" w:eastAsia="仿宋" w:cs="仿宋"/>
          <w:b/>
          <w:bCs/>
          <w:color w:val="auto"/>
          <w:spacing w:val="-2"/>
          <w:sz w:val="36"/>
          <w:szCs w:val="36"/>
          <w:lang w:val="en-US" w:eastAsia="zh-CN"/>
        </w:rPr>
        <w:t xml:space="preserve"> </w:t>
      </w:r>
      <w:r>
        <w:rPr>
          <w:rFonts w:hint="eastAsia" w:ascii="仿宋" w:hAnsi="仿宋" w:eastAsia="仿宋" w:cs="仿宋"/>
          <w:b/>
          <w:bCs/>
          <w:color w:val="auto"/>
          <w:spacing w:val="-2"/>
          <w:sz w:val="36"/>
          <w:szCs w:val="36"/>
        </w:rPr>
        <w:t>供应商谈判须知</w:t>
      </w:r>
      <w:bookmarkEnd w:id="12"/>
      <w:bookmarkEnd w:id="13"/>
      <w:bookmarkEnd w:id="14"/>
      <w:bookmarkEnd w:id="15"/>
      <w:bookmarkEnd w:id="16"/>
      <w:bookmarkEnd w:id="17"/>
    </w:p>
    <w:p w14:paraId="58C21366">
      <w:pPr>
        <w:numPr>
          <w:ilvl w:val="0"/>
          <w:numId w:val="2"/>
        </w:numPr>
        <w:spacing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供应商须知前附表</w:t>
      </w:r>
    </w:p>
    <w:tbl>
      <w:tblPr>
        <w:tblStyle w:val="2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14:paraId="1123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14:paraId="4C23974F">
            <w:pPr>
              <w:pStyle w:val="82"/>
              <w:spacing w:before="0" w:beforeLines="0" w:after="0" w:afterLines="0"/>
              <w:jc w:val="center"/>
              <w:rPr>
                <w:rFonts w:hint="eastAsia" w:ascii="仿宋" w:hAnsi="仿宋" w:eastAsia="仿宋" w:cs="仿宋"/>
                <w:b w:val="0"/>
                <w:bCs/>
                <w:color w:val="auto"/>
                <w:kern w:val="2"/>
                <w:sz w:val="24"/>
                <w:szCs w:val="24"/>
                <w:lang w:val="zh-CN"/>
              </w:rPr>
            </w:pPr>
            <w:r>
              <w:rPr>
                <w:rFonts w:hint="eastAsia" w:ascii="仿宋" w:hAnsi="仿宋" w:eastAsia="仿宋" w:cs="仿宋"/>
                <w:b/>
                <w:color w:val="auto"/>
                <w:kern w:val="2"/>
                <w:sz w:val="24"/>
                <w:szCs w:val="24"/>
                <w:lang w:val="zh-CN"/>
              </w:rPr>
              <w:t>序号</w:t>
            </w:r>
          </w:p>
        </w:tc>
        <w:tc>
          <w:tcPr>
            <w:tcW w:w="2093" w:type="dxa"/>
            <w:vAlign w:val="center"/>
          </w:tcPr>
          <w:p w14:paraId="5512A6B6">
            <w:pPr>
              <w:pStyle w:val="82"/>
              <w:spacing w:before="0" w:beforeLines="0" w:after="0" w:afterLines="0"/>
              <w:ind w:left="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条款名称</w:t>
            </w:r>
          </w:p>
        </w:tc>
        <w:tc>
          <w:tcPr>
            <w:tcW w:w="6705" w:type="dxa"/>
            <w:vAlign w:val="center"/>
          </w:tcPr>
          <w:p w14:paraId="09D83620">
            <w:pPr>
              <w:pStyle w:val="82"/>
              <w:spacing w:before="0" w:beforeLines="0" w:after="0" w:afterLines="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说明和要求</w:t>
            </w:r>
          </w:p>
        </w:tc>
      </w:tr>
      <w:tr w14:paraId="483C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14:paraId="29026725">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2093" w:type="dxa"/>
            <w:vAlign w:val="center"/>
          </w:tcPr>
          <w:p w14:paraId="38B936DB">
            <w:pPr>
              <w:spacing w:before="0" w:beforeLines="0" w:after="63" w:afterLines="20" w:line="400" w:lineRule="exact"/>
              <w:ind w:left="42" w:leftChars="20" w:right="42" w:rightChars="2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确定邀请谈判的         供应商数量</w:t>
            </w:r>
            <w:r>
              <w:rPr>
                <w:rFonts w:hint="eastAsia" w:ascii="仿宋" w:hAnsi="仿宋" w:eastAsia="仿宋" w:cs="仿宋"/>
                <w:bCs/>
                <w:color w:val="auto"/>
                <w:sz w:val="24"/>
                <w:szCs w:val="24"/>
                <w:lang w:eastAsia="zh-CN"/>
              </w:rPr>
              <w:t>和方式</w:t>
            </w:r>
          </w:p>
        </w:tc>
        <w:tc>
          <w:tcPr>
            <w:tcW w:w="6705" w:type="dxa"/>
            <w:vAlign w:val="center"/>
          </w:tcPr>
          <w:p w14:paraId="5EEED1FE">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本次项目邀请的供应商数量：3家及以上。</w:t>
            </w:r>
          </w:p>
          <w:p w14:paraId="63C70860">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val="zh-CN"/>
              </w:rPr>
              <w:t>本次采购在</w:t>
            </w:r>
            <w:r>
              <w:rPr>
                <w:rFonts w:hint="eastAsia" w:ascii="仿宋" w:hAnsi="仿宋" w:eastAsia="仿宋" w:cs="仿宋"/>
                <w:color w:val="auto"/>
                <w:kern w:val="2"/>
                <w:sz w:val="24"/>
                <w:szCs w:val="24"/>
                <w:lang w:val="en-US" w:eastAsia="zh-CN"/>
              </w:rPr>
              <w:t>四川招投标网</w:t>
            </w:r>
            <w:r>
              <w:rPr>
                <w:rFonts w:hint="eastAsia" w:ascii="仿宋" w:hAnsi="仿宋" w:eastAsia="仿宋" w:cs="仿宋"/>
                <w:bCs w:val="0"/>
                <w:color w:val="auto"/>
                <w:spacing w:val="-2"/>
                <w:sz w:val="24"/>
                <w:highlight w:val="none"/>
                <w:shd w:val="clear" w:color="auto" w:fill="auto"/>
                <w:lang w:val="en-US" w:eastAsia="zh-CN"/>
              </w:rPr>
              <w:t>（www.scbid.com）</w:t>
            </w:r>
            <w:r>
              <w:rPr>
                <w:rFonts w:hint="eastAsia" w:ascii="仿宋" w:hAnsi="仿宋" w:eastAsia="仿宋" w:cs="仿宋"/>
                <w:bCs/>
                <w:color w:val="auto"/>
                <w:sz w:val="24"/>
                <w:szCs w:val="24"/>
                <w:lang w:val="zh-CN"/>
              </w:rPr>
              <w:t>上以公告形式发布。</w:t>
            </w:r>
          </w:p>
        </w:tc>
      </w:tr>
      <w:tr w14:paraId="0B3C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14:paraId="21D0BDD4">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2</w:t>
            </w:r>
          </w:p>
        </w:tc>
        <w:tc>
          <w:tcPr>
            <w:tcW w:w="2093" w:type="dxa"/>
            <w:vAlign w:val="center"/>
          </w:tcPr>
          <w:p w14:paraId="7F26F615">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采购预算</w:t>
            </w:r>
          </w:p>
          <w:p w14:paraId="6D5F6DC6">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color w:val="auto"/>
                <w:sz w:val="24"/>
                <w:szCs w:val="24"/>
                <w:lang w:val="zh-CN"/>
              </w:rPr>
              <w:t>（实质性要求）</w:t>
            </w:r>
          </w:p>
        </w:tc>
        <w:tc>
          <w:tcPr>
            <w:tcW w:w="6705" w:type="dxa"/>
            <w:vAlign w:val="center"/>
          </w:tcPr>
          <w:p w14:paraId="30539C0D">
            <w:pPr>
              <w:spacing w:before="0" w:beforeLines="0" w:after="63" w:afterLines="20" w:line="400" w:lineRule="exact"/>
              <w:ind w:left="42" w:leftChars="20" w:right="42" w:rightChars="20" w:firstLine="240" w:firstLineChars="100"/>
              <w:outlineLvl w:val="1"/>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预算</w:t>
            </w:r>
            <w:r>
              <w:rPr>
                <w:rFonts w:hint="eastAsia" w:ascii="仿宋" w:hAnsi="仿宋" w:eastAsia="仿宋" w:cs="仿宋"/>
                <w:bCs/>
                <w:color w:val="auto"/>
                <w:sz w:val="24"/>
                <w:szCs w:val="24"/>
              </w:rPr>
              <w:t>金额：</w:t>
            </w:r>
            <w:r>
              <w:rPr>
                <w:rFonts w:hint="eastAsia" w:ascii="仿宋" w:hAnsi="仿宋" w:eastAsia="仿宋" w:cs="仿宋"/>
                <w:color w:val="000000" w:themeColor="text1"/>
                <w:spacing w:val="-2"/>
                <w:sz w:val="24"/>
                <w:lang w:val="en-US" w:eastAsia="zh-CN"/>
                <w14:textFill>
                  <w14:solidFill>
                    <w14:schemeClr w14:val="tx1"/>
                  </w14:solidFill>
                </w14:textFill>
              </w:rPr>
              <w:t>236700.00元（大写：贰拾叁万陆仟柒佰元整）</w:t>
            </w:r>
            <w:r>
              <w:rPr>
                <w:rFonts w:hint="eastAsia" w:ascii="仿宋" w:hAnsi="仿宋" w:eastAsia="仿宋" w:cs="仿宋"/>
                <w:bCs/>
                <w:color w:val="auto"/>
                <w:sz w:val="24"/>
                <w:szCs w:val="24"/>
                <w:lang w:eastAsia="zh-CN"/>
              </w:rPr>
              <w:t>；</w:t>
            </w:r>
          </w:p>
          <w:p w14:paraId="41E4814B">
            <w:pPr>
              <w:spacing w:before="0" w:beforeLines="0" w:after="63" w:afterLines="20" w:line="400" w:lineRule="exact"/>
              <w:ind w:left="42" w:leftChars="20" w:right="42" w:rightChars="20" w:firstLine="240" w:firstLineChars="100"/>
              <w:outlineLvl w:val="1"/>
              <w:rPr>
                <w:rFonts w:ascii="仿宋" w:hAnsi="仿宋" w:eastAsia="仿宋" w:cs="仿宋"/>
                <w:bCs/>
                <w:color w:val="auto"/>
                <w:sz w:val="24"/>
                <w:szCs w:val="24"/>
              </w:rPr>
            </w:pPr>
            <w:r>
              <w:rPr>
                <w:rFonts w:hint="eastAsia" w:ascii="仿宋" w:hAnsi="仿宋" w:eastAsia="仿宋" w:cs="仿宋"/>
                <w:bCs/>
                <w:color w:val="auto"/>
                <w:sz w:val="24"/>
                <w:szCs w:val="24"/>
                <w:lang w:val="zh-CN" w:eastAsia="zh-CN"/>
              </w:rPr>
              <w:t>供应商报价超过采购预算金额的，视为无效响应。</w:t>
            </w:r>
          </w:p>
        </w:tc>
      </w:tr>
      <w:tr w14:paraId="27D83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14:paraId="0B23E412">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3</w:t>
            </w:r>
          </w:p>
        </w:tc>
        <w:tc>
          <w:tcPr>
            <w:tcW w:w="2093" w:type="dxa"/>
            <w:vAlign w:val="center"/>
          </w:tcPr>
          <w:p w14:paraId="4C3E4383">
            <w:pPr>
              <w:pStyle w:val="82"/>
              <w:spacing w:after="48" w:afterLines="20" w:line="400" w:lineRule="exact"/>
              <w:ind w:left="42" w:leftChars="20" w:right="42" w:rightChars="20"/>
              <w:jc w:val="center"/>
              <w:rPr>
                <w:rFonts w:hint="eastAsia" w:ascii="仿宋" w:hAnsi="仿宋" w:eastAsia="仿宋" w:cs="仿宋"/>
                <w:bCs/>
                <w:kern w:val="2"/>
                <w:highlight w:val="none"/>
              </w:rPr>
            </w:pPr>
            <w:r>
              <w:rPr>
                <w:rFonts w:hint="eastAsia" w:ascii="仿宋" w:hAnsi="仿宋" w:eastAsia="仿宋" w:cs="仿宋"/>
                <w:bCs/>
                <w:kern w:val="2"/>
                <w:highlight w:val="none"/>
              </w:rPr>
              <w:t>最高限价</w:t>
            </w:r>
          </w:p>
          <w:p w14:paraId="5ECEA91C">
            <w:pPr>
              <w:pStyle w:val="82"/>
              <w:spacing w:after="48"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highlight w:val="none"/>
                <w:lang w:val="zh-CN"/>
              </w:rPr>
              <w:t>（实质性要求）</w:t>
            </w:r>
          </w:p>
        </w:tc>
        <w:tc>
          <w:tcPr>
            <w:tcW w:w="6705" w:type="dxa"/>
            <w:vAlign w:val="center"/>
          </w:tcPr>
          <w:p w14:paraId="4CEDA3F6">
            <w:pPr>
              <w:spacing w:after="48" w:afterLines="20" w:line="400" w:lineRule="exact"/>
              <w:ind w:left="42" w:leftChars="20" w:right="42" w:rightChars="20" w:firstLine="240" w:firstLineChars="100"/>
              <w:outlineLvl w:val="1"/>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最高限价</w:t>
            </w:r>
            <w:r>
              <w:rPr>
                <w:rFonts w:hint="eastAsia" w:ascii="仿宋" w:hAnsi="仿宋" w:eastAsia="仿宋" w:cs="仿宋"/>
                <w:bCs/>
                <w:color w:val="auto"/>
                <w:sz w:val="24"/>
                <w:highlight w:val="none"/>
              </w:rPr>
              <w:t>：</w:t>
            </w:r>
            <w:r>
              <w:rPr>
                <w:rFonts w:hint="eastAsia" w:ascii="仿宋" w:hAnsi="仿宋" w:eastAsia="仿宋" w:cs="仿宋"/>
                <w:color w:val="000000" w:themeColor="text1"/>
                <w:spacing w:val="-2"/>
                <w:sz w:val="24"/>
                <w:lang w:val="en-US" w:eastAsia="zh-CN"/>
                <w14:textFill>
                  <w14:solidFill>
                    <w14:schemeClr w14:val="tx1"/>
                  </w14:solidFill>
                </w14:textFill>
              </w:rPr>
              <w:t>236700.00元（大写：贰拾叁万陆仟柒佰元整）</w:t>
            </w:r>
            <w:r>
              <w:rPr>
                <w:rFonts w:hint="eastAsia" w:ascii="仿宋" w:hAnsi="仿宋" w:eastAsia="仿宋" w:cs="仿宋"/>
                <w:bCs/>
                <w:color w:val="auto"/>
                <w:sz w:val="24"/>
                <w:highlight w:val="none"/>
              </w:rPr>
              <w:t>；</w:t>
            </w:r>
          </w:p>
          <w:p w14:paraId="25B74A62">
            <w:pPr>
              <w:pStyle w:val="2"/>
              <w:spacing w:after="48" w:afterLines="20" w:line="400" w:lineRule="exact"/>
              <w:ind w:left="42" w:leftChars="20" w:right="42" w:rightChars="20" w:firstLine="240" w:firstLineChars="100"/>
              <w:rPr>
                <w:rFonts w:ascii="仿宋" w:hAnsi="仿宋" w:eastAsia="仿宋" w:cs="仿宋"/>
                <w:color w:val="auto"/>
                <w:sz w:val="21"/>
                <w:szCs w:val="24"/>
              </w:rPr>
            </w:pPr>
            <w:r>
              <w:rPr>
                <w:rFonts w:hint="eastAsia" w:ascii="仿宋" w:hAnsi="仿宋" w:eastAsia="仿宋" w:cs="仿宋"/>
                <w:color w:val="auto"/>
                <w:sz w:val="24"/>
                <w:highlight w:val="none"/>
                <w:lang w:val="zh-CN"/>
              </w:rPr>
              <w:t>供应商报价超过最高限价金额的，视为无效响应。</w:t>
            </w:r>
          </w:p>
        </w:tc>
      </w:tr>
      <w:tr w14:paraId="7EFA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0" w:hRule="atLeast"/>
          <w:jc w:val="center"/>
        </w:trPr>
        <w:tc>
          <w:tcPr>
            <w:tcW w:w="656" w:type="dxa"/>
            <w:vAlign w:val="center"/>
          </w:tcPr>
          <w:p w14:paraId="1D364342">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4</w:t>
            </w:r>
          </w:p>
        </w:tc>
        <w:tc>
          <w:tcPr>
            <w:tcW w:w="2093" w:type="dxa"/>
            <w:vAlign w:val="center"/>
          </w:tcPr>
          <w:p w14:paraId="0D8DE1A8">
            <w:pPr>
              <w:autoSpaceDE w:val="0"/>
              <w:autoSpaceDN w:val="0"/>
              <w:adjustRightInd w:val="0"/>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低于成本价不正</w:t>
            </w:r>
          </w:p>
          <w:p w14:paraId="1152A137">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当竞争预防措施</w:t>
            </w:r>
          </w:p>
          <w:p w14:paraId="3942891F">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hAnsi="仿宋" w:eastAsia="仿宋" w:cs="仿宋"/>
                <w:b/>
                <w:color w:val="auto"/>
                <w:kern w:val="2"/>
                <w:sz w:val="24"/>
                <w:szCs w:val="24"/>
                <w:lang w:val="zh-CN"/>
              </w:rPr>
              <w:t>（实质性要求）</w:t>
            </w:r>
          </w:p>
        </w:tc>
        <w:tc>
          <w:tcPr>
            <w:tcW w:w="6705" w:type="dxa"/>
            <w:vAlign w:val="center"/>
          </w:tcPr>
          <w:p w14:paraId="0695F91C">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32"/>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供应商的书面说明材料应当按照国家财务会计制度的规定要求，逐项就供应商提供的货物、服务和工程的主营业务成本、税金及附加、销售费用、管理费用、财务费用等成本构成事项详细陈述。</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lang w:val="en-US" w:eastAsia="zh-CN"/>
              </w:rPr>
              <w:t xml:space="preserve">  </w:t>
            </w:r>
            <w:r>
              <w:rPr>
                <w:rFonts w:hint="eastAsia" w:ascii="仿宋" w:hAnsi="仿宋" w:eastAsia="仿宋" w:cs="仿宋"/>
                <w:bCs/>
                <w:color w:val="auto"/>
                <w:sz w:val="24"/>
                <w:szCs w:val="32"/>
              </w:rPr>
              <w:t>二、供应商书面说明应当签字确认或者加盖公章，否则无效。书面说明的签字确认，供应商为法人的，由其法定代表人或者授权代表签字确认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供应商为其他组织的，由其主要负责人或者授权代表签字确认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供应商为自然人的，由其本人或者授权代表签字确认。</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 xml:space="preserve">  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14:paraId="2E1F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14:paraId="1A5970D3">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5</w:t>
            </w:r>
          </w:p>
        </w:tc>
        <w:tc>
          <w:tcPr>
            <w:tcW w:w="2093" w:type="dxa"/>
            <w:vAlign w:val="center"/>
          </w:tcPr>
          <w:p w14:paraId="031F93B9">
            <w:pPr>
              <w:pStyle w:val="82"/>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联合体</w:t>
            </w:r>
          </w:p>
          <w:p w14:paraId="31ED17FD">
            <w:pPr>
              <w:pStyle w:val="82"/>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b/>
                <w:color w:val="auto"/>
                <w:kern w:val="2"/>
                <w:sz w:val="24"/>
                <w:szCs w:val="24"/>
                <w:lang w:val="zh-CN"/>
              </w:rPr>
              <w:t>（实质性要求）</w:t>
            </w:r>
          </w:p>
        </w:tc>
        <w:tc>
          <w:tcPr>
            <w:tcW w:w="6705" w:type="dxa"/>
            <w:vAlign w:val="center"/>
          </w:tcPr>
          <w:p w14:paraId="34F6827A">
            <w:pPr>
              <w:pStyle w:val="82"/>
              <w:spacing w:before="0" w:beforeLines="0" w:after="63" w:afterLines="20" w:line="400" w:lineRule="exact"/>
              <w:ind w:left="42" w:leftChars="20" w:right="42" w:rightChars="20" w:firstLine="240" w:firstLineChars="100"/>
              <w:jc w:val="both"/>
              <w:rPr>
                <w:rFonts w:ascii="仿宋" w:hAnsi="仿宋" w:eastAsia="仿宋" w:cs="仿宋"/>
                <w:color w:val="auto"/>
                <w:kern w:val="2"/>
                <w:sz w:val="24"/>
                <w:szCs w:val="24"/>
              </w:rPr>
            </w:pPr>
            <w:r>
              <w:rPr>
                <w:rFonts w:hint="eastAsia" w:ascii="仿宋" w:hAnsi="仿宋" w:eastAsia="仿宋" w:cs="仿宋"/>
                <w:color w:val="auto"/>
                <w:sz w:val="24"/>
                <w:szCs w:val="24"/>
              </w:rPr>
              <w:t>本项目不接受联合体参与。</w:t>
            </w:r>
          </w:p>
        </w:tc>
      </w:tr>
      <w:tr w14:paraId="625D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14:paraId="610C9092">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6</w:t>
            </w:r>
          </w:p>
        </w:tc>
        <w:tc>
          <w:tcPr>
            <w:tcW w:w="2093" w:type="dxa"/>
            <w:vAlign w:val="center"/>
          </w:tcPr>
          <w:p w14:paraId="6830B573">
            <w:pPr>
              <w:pStyle w:val="82"/>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合同分包、转包</w:t>
            </w:r>
          </w:p>
          <w:p w14:paraId="26067CDF">
            <w:pPr>
              <w:pStyle w:val="82"/>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b/>
                <w:color w:val="auto"/>
                <w:kern w:val="2"/>
                <w:sz w:val="24"/>
                <w:szCs w:val="24"/>
                <w:lang w:val="zh-CN"/>
              </w:rPr>
              <w:t>（实质性要求）</w:t>
            </w:r>
          </w:p>
        </w:tc>
        <w:tc>
          <w:tcPr>
            <w:tcW w:w="6705" w:type="dxa"/>
            <w:vAlign w:val="center"/>
          </w:tcPr>
          <w:p w14:paraId="38549770">
            <w:pPr>
              <w:pStyle w:val="82"/>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sz w:val="24"/>
                <w:szCs w:val="24"/>
              </w:rPr>
              <w:t>采购人不允许成交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将本项目</w:t>
            </w:r>
            <w:r>
              <w:rPr>
                <w:rFonts w:hint="eastAsia" w:ascii="仿宋" w:hAnsi="仿宋" w:eastAsia="仿宋" w:cs="仿宋"/>
                <w:color w:val="auto"/>
                <w:sz w:val="24"/>
                <w:szCs w:val="24"/>
                <w:lang w:eastAsia="zh-CN"/>
              </w:rPr>
              <w:t>合同</w:t>
            </w:r>
            <w:r>
              <w:rPr>
                <w:rFonts w:hint="eastAsia" w:ascii="仿宋" w:hAnsi="仿宋" w:eastAsia="仿宋" w:cs="仿宋"/>
                <w:color w:val="auto"/>
                <w:kern w:val="2"/>
                <w:sz w:val="24"/>
                <w:szCs w:val="24"/>
                <w:lang w:val="zh-CN"/>
              </w:rPr>
              <w:t>分包、转包。</w:t>
            </w:r>
          </w:p>
        </w:tc>
      </w:tr>
      <w:tr w14:paraId="1E30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14:paraId="3F0E38EE">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7</w:t>
            </w:r>
          </w:p>
        </w:tc>
        <w:tc>
          <w:tcPr>
            <w:tcW w:w="2093" w:type="dxa"/>
            <w:vAlign w:val="center"/>
          </w:tcPr>
          <w:p w14:paraId="2B9323E6">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评审情况公告</w:t>
            </w:r>
          </w:p>
        </w:tc>
        <w:tc>
          <w:tcPr>
            <w:tcW w:w="6705" w:type="dxa"/>
            <w:vAlign w:val="center"/>
          </w:tcPr>
          <w:p w14:paraId="6DBB017E">
            <w:pPr>
              <w:pStyle w:val="82"/>
              <w:overflowPunct/>
              <w:spacing w:before="0" w:beforeLines="0" w:after="63" w:afterLines="20" w:line="400" w:lineRule="exact"/>
              <w:ind w:left="42" w:leftChars="20" w:right="42" w:rightChars="20" w:firstLine="240" w:firstLineChars="100"/>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评审结果等将</w:t>
            </w:r>
            <w:r>
              <w:rPr>
                <w:rFonts w:hint="eastAsia" w:ascii="仿宋" w:hAnsi="仿宋" w:eastAsia="仿宋" w:cs="仿宋"/>
                <w:color w:val="auto"/>
                <w:kern w:val="2"/>
                <w:sz w:val="24"/>
                <w:szCs w:val="24"/>
                <w:lang w:eastAsia="zh-CN"/>
              </w:rPr>
              <w:t>在</w:t>
            </w:r>
            <w:r>
              <w:rPr>
                <w:rFonts w:hint="eastAsia" w:ascii="仿宋" w:hAnsi="仿宋" w:eastAsia="仿宋" w:cs="仿宋"/>
                <w:color w:val="auto"/>
                <w:kern w:val="2"/>
                <w:sz w:val="24"/>
                <w:szCs w:val="24"/>
                <w:lang w:val="en-US" w:eastAsia="zh-CN"/>
              </w:rPr>
              <w:t>四川招投标网（www.scbid.com）上进行公示</w:t>
            </w:r>
            <w:r>
              <w:rPr>
                <w:rFonts w:hint="eastAsia" w:ascii="仿宋" w:hAnsi="仿宋" w:eastAsia="仿宋" w:cs="仿宋"/>
                <w:color w:val="auto"/>
                <w:kern w:val="2"/>
                <w:sz w:val="24"/>
                <w:szCs w:val="24"/>
              </w:rPr>
              <w:t>。</w:t>
            </w:r>
          </w:p>
        </w:tc>
      </w:tr>
      <w:tr w14:paraId="2071D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56" w:type="dxa"/>
            <w:vAlign w:val="center"/>
          </w:tcPr>
          <w:p w14:paraId="1A6537B1">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8</w:t>
            </w:r>
          </w:p>
        </w:tc>
        <w:tc>
          <w:tcPr>
            <w:tcW w:w="2093" w:type="dxa"/>
            <w:vAlign w:val="center"/>
          </w:tcPr>
          <w:p w14:paraId="24EC3DF9">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lang w:val="zh-CN"/>
              </w:rPr>
              <w:t>谈判保证金</w:t>
            </w:r>
          </w:p>
        </w:tc>
        <w:tc>
          <w:tcPr>
            <w:tcW w:w="6705" w:type="dxa"/>
            <w:vAlign w:val="center"/>
          </w:tcPr>
          <w:p w14:paraId="5DCD6F47">
            <w:pPr>
              <w:pStyle w:val="82"/>
              <w:overflowPunct/>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kern w:val="2"/>
                <w:sz w:val="24"/>
                <w:szCs w:val="24"/>
              </w:rPr>
              <w:t>本项目不收取谈判保证金。</w:t>
            </w:r>
          </w:p>
        </w:tc>
      </w:tr>
      <w:tr w14:paraId="6ED5C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14:paraId="37B650F8">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9</w:t>
            </w:r>
          </w:p>
        </w:tc>
        <w:tc>
          <w:tcPr>
            <w:tcW w:w="2093" w:type="dxa"/>
            <w:vAlign w:val="center"/>
          </w:tcPr>
          <w:p w14:paraId="7F5FEFF0">
            <w:pPr>
              <w:pStyle w:val="82"/>
              <w:spacing w:before="0" w:beforeLines="0" w:after="63" w:afterLines="20" w:line="400" w:lineRule="exact"/>
              <w:ind w:left="42" w:leftChars="20" w:right="42" w:rightChars="20"/>
              <w:jc w:val="center"/>
              <w:rPr>
                <w:rFonts w:hint="eastAsia" w:ascii="仿宋" w:hAnsi="仿宋" w:eastAsia="仿宋" w:cs="仿宋"/>
                <w:color w:val="auto"/>
                <w:sz w:val="24"/>
                <w:szCs w:val="24"/>
                <w:highlight w:val="none"/>
                <w:shd w:val="clear" w:color="auto" w:fill="auto"/>
                <w:lang w:val="zh-CN"/>
              </w:rPr>
            </w:pPr>
            <w:r>
              <w:rPr>
                <w:rFonts w:hint="eastAsia" w:ascii="仿宋" w:hAnsi="仿宋" w:eastAsia="仿宋" w:cs="仿宋"/>
                <w:color w:val="auto"/>
                <w:sz w:val="24"/>
                <w:szCs w:val="24"/>
                <w:highlight w:val="none"/>
                <w:shd w:val="clear" w:color="auto" w:fill="auto"/>
                <w:lang w:val="zh-CN"/>
              </w:rPr>
              <w:t>履约保证金</w:t>
            </w:r>
          </w:p>
          <w:p w14:paraId="49EF2BBA">
            <w:pPr>
              <w:pStyle w:val="82"/>
              <w:spacing w:before="0" w:beforeLines="0" w:after="63" w:afterLines="20" w:line="400" w:lineRule="exact"/>
              <w:ind w:left="42" w:leftChars="20" w:right="42" w:rightChars="20"/>
              <w:jc w:val="center"/>
              <w:rPr>
                <w:rFonts w:hint="eastAsia" w:ascii="仿宋" w:hAnsi="仿宋" w:eastAsia="仿宋" w:cs="仿宋"/>
                <w:bCs/>
                <w:color w:val="auto"/>
                <w:sz w:val="24"/>
                <w:szCs w:val="24"/>
                <w:lang w:val="en-US" w:eastAsia="zh-CN"/>
              </w:rPr>
            </w:pPr>
          </w:p>
        </w:tc>
        <w:tc>
          <w:tcPr>
            <w:tcW w:w="6705" w:type="dxa"/>
            <w:vAlign w:val="center"/>
          </w:tcPr>
          <w:p w14:paraId="5E39C3A7">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履约保证金金额：合同金额的 10%。</w:t>
            </w:r>
          </w:p>
          <w:p w14:paraId="04CF21FE">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履约保证金缴纳形式：供应商自行选择以支票、汇票、本票或者金融机构、担保机构出具的保函等非现金形式在合同签订前提交。</w:t>
            </w:r>
          </w:p>
          <w:p w14:paraId="13BA467A">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银行账户信息如下：</w:t>
            </w:r>
          </w:p>
          <w:p w14:paraId="08E5D7DA">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账户名：富顺县中医医院</w:t>
            </w:r>
          </w:p>
          <w:p w14:paraId="36950152">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账号：11820120000037316</w:t>
            </w:r>
          </w:p>
          <w:p w14:paraId="797BFE67">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开户行：四川富顺农村商业银行股份有限公司营业部</w:t>
            </w:r>
          </w:p>
          <w:p w14:paraId="04BCEE34">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应注明（项目名称、项目编号）履约保证金。</w:t>
            </w:r>
          </w:p>
          <w:p w14:paraId="02F5B511">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履约保证金退还：服务期满一年后，供应商履行了合同服务义务，采购人凭供应商提供的退还履约保证金申请无息退还履约保证金。</w:t>
            </w:r>
          </w:p>
          <w:p w14:paraId="55D2B622">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履约保证金不予退还情形：未按合同履约不退还。采用非保函形式缴纳的履约保证金在 15 个工作日内无息返还，采用保函形式缴纳的履约保证金在担保有效期后，担保责任终止。</w:t>
            </w:r>
          </w:p>
          <w:p w14:paraId="50C0D054">
            <w:pPr>
              <w:pStyle w:val="82"/>
              <w:spacing w:before="0" w:beforeLines="0" w:after="63" w:afterLines="20" w:line="400" w:lineRule="exact"/>
              <w:ind w:left="42" w:leftChars="20" w:right="42" w:rightChars="20" w:firstLine="240" w:firstLineChars="100"/>
              <w:jc w:val="both"/>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递交和退还保函原件时供应商须到采购人现场提供以下证明材料：</w:t>
            </w:r>
          </w:p>
          <w:p w14:paraId="6193A5C1">
            <w:pPr>
              <w:pStyle w:val="82"/>
              <w:spacing w:before="0" w:beforeLines="0" w:after="63" w:afterLines="20" w:line="400" w:lineRule="exact"/>
              <w:ind w:left="42" w:leftChars="20" w:right="42" w:rightChars="20" w:firstLine="240" w:firstLineChars="100"/>
              <w:jc w:val="both"/>
              <w:rPr>
                <w:rFonts w:ascii="仿宋" w:hAnsi="仿宋" w:eastAsia="仿宋" w:cs="仿宋"/>
                <w:bCs/>
                <w:color w:val="auto"/>
                <w:kern w:val="2"/>
                <w:sz w:val="24"/>
                <w:szCs w:val="24"/>
              </w:rPr>
            </w:pPr>
            <w:r>
              <w:rPr>
                <w:rFonts w:hint="eastAsia" w:ascii="仿宋" w:hAnsi="仿宋" w:eastAsia="仿宋" w:cs="仿宋"/>
                <w:color w:val="auto"/>
                <w:kern w:val="2"/>
                <w:sz w:val="24"/>
                <w:szCs w:val="24"/>
              </w:rPr>
              <w:t>①法定代表人授权委托书原件；②委托代理人身份证复印件。</w:t>
            </w:r>
          </w:p>
        </w:tc>
      </w:tr>
      <w:tr w14:paraId="00E93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14:paraId="168C5B65">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10</w:t>
            </w:r>
          </w:p>
        </w:tc>
        <w:tc>
          <w:tcPr>
            <w:tcW w:w="2093" w:type="dxa"/>
            <w:vAlign w:val="center"/>
          </w:tcPr>
          <w:p w14:paraId="50D844DE">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现场考察和</w:t>
            </w:r>
          </w:p>
          <w:p w14:paraId="7333FAD9">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spacing w:val="-2"/>
                <w:sz w:val="24"/>
                <w:szCs w:val="24"/>
              </w:rPr>
              <w:t>谈判</w:t>
            </w:r>
            <w:r>
              <w:rPr>
                <w:rFonts w:hint="eastAsia" w:ascii="仿宋" w:hAnsi="仿宋" w:eastAsia="仿宋" w:cs="仿宋"/>
                <w:bCs/>
                <w:color w:val="auto"/>
                <w:sz w:val="24"/>
                <w:szCs w:val="24"/>
              </w:rPr>
              <w:t>前答疑会</w:t>
            </w:r>
          </w:p>
        </w:tc>
        <w:tc>
          <w:tcPr>
            <w:tcW w:w="6705" w:type="dxa"/>
            <w:vAlign w:val="center"/>
          </w:tcPr>
          <w:p w14:paraId="3C2C3DE4">
            <w:pPr>
              <w:spacing w:before="0" w:beforeLines="0" w:after="63" w:afterLines="20" w:line="400" w:lineRule="exact"/>
              <w:ind w:left="42" w:leftChars="20" w:right="42" w:rightChars="20" w:firstLine="240" w:firstLineChars="1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bCs/>
                <w:color w:val="auto"/>
                <w:sz w:val="24"/>
                <w:szCs w:val="24"/>
              </w:rPr>
              <w:t>采购人</w:t>
            </w:r>
            <w:r>
              <w:rPr>
                <w:rFonts w:hint="eastAsia" w:ascii="仿宋" w:hAnsi="仿宋" w:eastAsia="仿宋" w:cs="仿宋"/>
                <w:color w:val="auto"/>
                <w:sz w:val="24"/>
                <w:szCs w:val="24"/>
              </w:rPr>
              <w:t>不组织现场考察和召开答疑会。</w:t>
            </w:r>
          </w:p>
          <w:p w14:paraId="2A5B611D">
            <w:pPr>
              <w:spacing w:before="0" w:beforeLines="0" w:after="63" w:afterLines="20" w:line="400" w:lineRule="exact"/>
              <w:ind w:left="42" w:leftChars="20" w:right="42" w:rightChars="20" w:firstLine="240" w:firstLineChars="100"/>
              <w:jc w:val="left"/>
              <w:rPr>
                <w:rFonts w:ascii="仿宋" w:hAnsi="仿宋" w:eastAsia="仿宋" w:cs="仿宋"/>
                <w:bCs/>
                <w:color w:val="auto"/>
                <w:sz w:val="24"/>
                <w:szCs w:val="24"/>
              </w:rPr>
            </w:pPr>
            <w:r>
              <w:rPr>
                <w:rFonts w:hint="eastAsia" w:ascii="仿宋" w:hAnsi="仿宋" w:eastAsia="仿宋" w:cs="仿宋"/>
                <w:bCs/>
                <w:color w:val="auto"/>
                <w:sz w:val="24"/>
                <w:szCs w:val="24"/>
              </w:rPr>
              <w:t>采购人认为有必要，另行书面通知。</w:t>
            </w:r>
          </w:p>
        </w:tc>
      </w:tr>
      <w:tr w14:paraId="4D2B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14:paraId="38C59F05">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11</w:t>
            </w:r>
          </w:p>
        </w:tc>
        <w:tc>
          <w:tcPr>
            <w:tcW w:w="2093" w:type="dxa"/>
            <w:vAlign w:val="center"/>
          </w:tcPr>
          <w:p w14:paraId="0628BA92">
            <w:pPr>
              <w:pStyle w:val="82"/>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采购文件咨询</w:t>
            </w:r>
          </w:p>
        </w:tc>
        <w:tc>
          <w:tcPr>
            <w:tcW w:w="6705" w:type="dxa"/>
            <w:vAlign w:val="center"/>
          </w:tcPr>
          <w:p w14:paraId="2ABB5CAE">
            <w:pPr>
              <w:overflowPunct/>
              <w:spacing w:before="0" w:beforeLines="0" w:after="63" w:afterLines="20" w:line="400" w:lineRule="exact"/>
              <w:ind w:left="42" w:leftChars="20" w:right="42" w:rightChars="20" w:firstLine="240" w:firstLineChars="100"/>
              <w:rPr>
                <w:rFonts w:ascii="仿宋" w:hAnsi="仿宋" w:eastAsia="仿宋" w:cs="仿宋"/>
                <w:color w:val="auto"/>
                <w:sz w:val="24"/>
                <w:szCs w:val="24"/>
                <w:lang w:val="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杨女士</w:t>
            </w:r>
            <w:r>
              <w:rPr>
                <w:rFonts w:hint="eastAsia" w:ascii="仿宋" w:hAnsi="仿宋" w:eastAsia="仿宋" w:cs="仿宋"/>
                <w:color w:val="auto"/>
                <w:sz w:val="24"/>
                <w:szCs w:val="24"/>
                <w:lang w:val="zh-CN"/>
              </w:rPr>
              <w:t>；</w:t>
            </w:r>
          </w:p>
          <w:p w14:paraId="0A52939B">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14:paraId="23381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14:paraId="1B49CB3C">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12</w:t>
            </w:r>
          </w:p>
        </w:tc>
        <w:tc>
          <w:tcPr>
            <w:tcW w:w="2093" w:type="dxa"/>
            <w:vAlign w:val="center"/>
          </w:tcPr>
          <w:p w14:paraId="452D544A">
            <w:pPr>
              <w:pStyle w:val="82"/>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谈判、评审工作</w:t>
            </w:r>
          </w:p>
          <w:p w14:paraId="1AF7F5BE">
            <w:pPr>
              <w:pStyle w:val="82"/>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咨询</w:t>
            </w:r>
          </w:p>
        </w:tc>
        <w:tc>
          <w:tcPr>
            <w:tcW w:w="6705" w:type="dxa"/>
            <w:vAlign w:val="center"/>
          </w:tcPr>
          <w:p w14:paraId="44B2B226">
            <w:pPr>
              <w:overflowPunct/>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杨女士</w:t>
            </w:r>
            <w:r>
              <w:rPr>
                <w:rFonts w:hint="eastAsia" w:ascii="仿宋" w:hAnsi="仿宋" w:eastAsia="仿宋" w:cs="仿宋"/>
                <w:color w:val="auto"/>
                <w:sz w:val="24"/>
                <w:szCs w:val="24"/>
                <w:lang w:eastAsia="zh-CN"/>
              </w:rPr>
              <w:t>；</w:t>
            </w:r>
          </w:p>
          <w:p w14:paraId="63F37C13">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14:paraId="39F57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14:paraId="6DD47B0B">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13</w:t>
            </w:r>
          </w:p>
        </w:tc>
        <w:tc>
          <w:tcPr>
            <w:tcW w:w="2093" w:type="dxa"/>
            <w:vAlign w:val="center"/>
          </w:tcPr>
          <w:p w14:paraId="59CB0DC4">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有效期</w:t>
            </w:r>
          </w:p>
          <w:p w14:paraId="3A1C6CCA">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hAnsi="仿宋" w:eastAsia="仿宋" w:cs="仿宋"/>
                <w:b/>
                <w:color w:val="auto"/>
                <w:kern w:val="2"/>
                <w:sz w:val="24"/>
                <w:szCs w:val="24"/>
                <w:lang w:val="zh-CN"/>
              </w:rPr>
              <w:t>（实质性要求）</w:t>
            </w:r>
          </w:p>
        </w:tc>
        <w:tc>
          <w:tcPr>
            <w:tcW w:w="6705" w:type="dxa"/>
            <w:vAlign w:val="center"/>
          </w:tcPr>
          <w:p w14:paraId="00486ADB">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本项目</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lang w:val="zh-CN"/>
              </w:rPr>
              <w:t>有效期为递交响应文件截止之日起满</w:t>
            </w:r>
            <w:r>
              <w:rPr>
                <w:rFonts w:hint="eastAsia" w:ascii="仿宋" w:hAnsi="仿宋" w:eastAsia="仿宋" w:cs="仿宋"/>
                <w:b w:val="0"/>
                <w:bCs/>
                <w:color w:val="auto"/>
                <w:sz w:val="24"/>
                <w:szCs w:val="24"/>
              </w:rPr>
              <w:t>90天（从谈判之日起），</w:t>
            </w:r>
            <w:r>
              <w:rPr>
                <w:rFonts w:hint="eastAsia" w:ascii="仿宋" w:hAnsi="仿宋" w:eastAsia="仿宋" w:cs="仿宋"/>
                <w:b w:val="0"/>
                <w:bCs/>
                <w:color w:val="auto"/>
                <w:sz w:val="24"/>
                <w:szCs w:val="24"/>
                <w:lang w:val="zh-CN"/>
              </w:rPr>
              <w:t>响应文件响应</w:t>
            </w:r>
            <w:r>
              <w:rPr>
                <w:rFonts w:hint="eastAsia" w:ascii="仿宋" w:hAnsi="仿宋" w:eastAsia="仿宋" w:cs="仿宋"/>
                <w:b w:val="0"/>
                <w:bCs/>
                <w:color w:val="auto"/>
                <w:sz w:val="24"/>
                <w:szCs w:val="24"/>
              </w:rPr>
              <w:t>有效期不足将导致其响应文件无效。</w:t>
            </w:r>
          </w:p>
        </w:tc>
      </w:tr>
      <w:tr w14:paraId="3BE17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14:paraId="524A071E">
            <w:pPr>
              <w:pStyle w:val="82"/>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14</w:t>
            </w:r>
          </w:p>
        </w:tc>
        <w:tc>
          <w:tcPr>
            <w:tcW w:w="2093" w:type="dxa"/>
            <w:vAlign w:val="center"/>
          </w:tcPr>
          <w:p w14:paraId="7B6F2E10">
            <w:pPr>
              <w:tabs>
                <w:tab w:val="left" w:pos="7665"/>
              </w:tabs>
              <w:snapToGrid/>
              <w:spacing w:before="0" w:beforeLines="0" w:after="63" w:afterLines="20" w:line="400" w:lineRule="exact"/>
              <w:ind w:left="42" w:leftChars="20" w:right="42" w:rightChars="20" w:firstLine="240" w:firstLineChars="10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响应文件份数</w:t>
            </w:r>
            <w:r>
              <w:rPr>
                <w:rFonts w:hint="eastAsia" w:ascii="仿宋" w:hAns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14:paraId="1CF5EBE6">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资格性响应文件1式3份（其中正本1份、副本2份）；</w:t>
            </w:r>
          </w:p>
          <w:p w14:paraId="0E2F54E2">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其他响应文件</w:t>
            </w:r>
            <w:r>
              <w:rPr>
                <w:rFonts w:hint="eastAsia" w:ascii="仿宋" w:hAnsi="仿宋" w:eastAsia="仿宋" w:cs="仿宋"/>
                <w:b w:val="0"/>
                <w:bCs/>
                <w:color w:val="auto"/>
                <w:sz w:val="24"/>
                <w:szCs w:val="24"/>
              </w:rPr>
              <w:t>1式3份（其中正本1份、副本2份）;</w:t>
            </w:r>
          </w:p>
          <w:p w14:paraId="3E8F3EBC">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报价响应文件1份；</w:t>
            </w:r>
          </w:p>
          <w:p w14:paraId="1DE33D52">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响应文件电子文档（U盘）1份。</w:t>
            </w:r>
          </w:p>
        </w:tc>
      </w:tr>
      <w:tr w14:paraId="3D10B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14:paraId="333DC20C">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5</w:t>
            </w:r>
          </w:p>
        </w:tc>
        <w:tc>
          <w:tcPr>
            <w:tcW w:w="2093" w:type="dxa"/>
            <w:vAlign w:val="center"/>
          </w:tcPr>
          <w:p w14:paraId="1AE271D3">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成交通知书领取</w:t>
            </w:r>
          </w:p>
        </w:tc>
        <w:tc>
          <w:tcPr>
            <w:tcW w:w="6705" w:type="dxa"/>
            <w:vAlign w:val="center"/>
          </w:tcPr>
          <w:p w14:paraId="4BC5A7A7">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eastAsia="zh-CN"/>
              </w:rPr>
              <w:t>采购结果在</w:t>
            </w:r>
            <w:r>
              <w:rPr>
                <w:rFonts w:hint="eastAsia" w:ascii="仿宋" w:hAnsi="仿宋" w:eastAsia="仿宋" w:cs="仿宋"/>
                <w:bCs/>
                <w:color w:val="auto"/>
                <w:spacing w:val="0"/>
                <w:sz w:val="24"/>
                <w:highlight w:val="none"/>
                <w:shd w:val="clear" w:color="auto" w:fill="auto"/>
                <w:lang w:val="en-US" w:eastAsia="zh-CN"/>
              </w:rPr>
              <w:t>四川招投标网</w:t>
            </w:r>
            <w:r>
              <w:rPr>
                <w:rFonts w:hint="eastAsia" w:ascii="仿宋" w:hAnsi="仿宋" w:eastAsia="仿宋" w:cs="仿宋"/>
                <w:bCs w:val="0"/>
                <w:color w:val="auto"/>
                <w:spacing w:val="-2"/>
                <w:sz w:val="24"/>
                <w:highlight w:val="none"/>
                <w:shd w:val="clear" w:color="auto" w:fill="auto"/>
                <w:lang w:val="en-US" w:eastAsia="zh-CN"/>
              </w:rPr>
              <w:t>（www.scbid.com）</w:t>
            </w:r>
            <w:r>
              <w:rPr>
                <w:rFonts w:hint="eastAsia" w:ascii="仿宋" w:hAnsi="仿宋" w:eastAsia="仿宋" w:cs="仿宋"/>
                <w:bCs/>
                <w:color w:val="auto"/>
                <w:spacing w:val="0"/>
                <w:sz w:val="24"/>
                <w:highlight w:val="none"/>
                <w:shd w:val="clear" w:color="auto" w:fill="auto"/>
                <w:lang w:val="en-US" w:eastAsia="zh-CN"/>
              </w:rPr>
              <w:t>上公示后</w:t>
            </w:r>
            <w:r>
              <w:rPr>
                <w:rFonts w:hint="eastAsia" w:ascii="仿宋" w:hAnsi="仿宋" w:eastAsia="仿宋" w:cs="仿宋"/>
                <w:bCs/>
                <w:color w:val="auto"/>
                <w:sz w:val="24"/>
                <w:szCs w:val="24"/>
              </w:rPr>
              <w:t>，</w:t>
            </w:r>
            <w:r>
              <w:rPr>
                <w:rFonts w:hint="eastAsia" w:ascii="仿宋" w:hAnsi="仿宋" w:eastAsia="仿宋" w:cs="仿宋"/>
                <w:color w:val="auto"/>
                <w:sz w:val="24"/>
                <w:szCs w:val="24"/>
                <w:lang w:val="zh-CN"/>
              </w:rPr>
              <w:t>请成交供应商凭有效身份证明证件到采购代理机构办理完代理服务费交费手续后领取成交通知书。</w:t>
            </w:r>
          </w:p>
          <w:p w14:paraId="410F5774">
            <w:pPr>
              <w:tabs>
                <w:tab w:val="left" w:pos="7665"/>
              </w:tabs>
              <w:snapToGrid/>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联 系 人：</w:t>
            </w:r>
            <w:r>
              <w:rPr>
                <w:rFonts w:hint="eastAsia" w:ascii="仿宋" w:hAnsi="仿宋" w:eastAsia="仿宋" w:cs="仿宋"/>
                <w:bCs/>
                <w:color w:val="auto"/>
                <w:sz w:val="24"/>
                <w:szCs w:val="24"/>
                <w:lang w:eastAsia="zh-CN"/>
              </w:rPr>
              <w:t>张女士</w:t>
            </w:r>
          </w:p>
          <w:p w14:paraId="4A003604">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联系电话：0813-2220079</w:t>
            </w:r>
          </w:p>
          <w:p w14:paraId="049C5A7B">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地</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址：</w:t>
            </w:r>
            <w:r>
              <w:rPr>
                <w:rFonts w:hint="eastAsia" w:ascii="仿宋" w:hAnsi="仿宋" w:eastAsia="仿宋" w:cs="仿宋"/>
                <w:color w:val="auto"/>
                <w:spacing w:val="-2"/>
                <w:sz w:val="24"/>
                <w:szCs w:val="24"/>
              </w:rPr>
              <w:t>自贡市自流井区汇东丹桂大街蓝鹰海岸综合楼二楼</w:t>
            </w:r>
            <w:r>
              <w:rPr>
                <w:rFonts w:hint="eastAsia" w:ascii="仿宋" w:hAnsi="仿宋" w:eastAsia="仿宋" w:cs="仿宋"/>
                <w:bCs/>
                <w:color w:val="auto"/>
                <w:sz w:val="24"/>
                <w:szCs w:val="24"/>
              </w:rPr>
              <w:t>。</w:t>
            </w:r>
          </w:p>
        </w:tc>
      </w:tr>
      <w:tr w14:paraId="105B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14:paraId="01ADE524">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6</w:t>
            </w:r>
          </w:p>
        </w:tc>
        <w:tc>
          <w:tcPr>
            <w:tcW w:w="2093" w:type="dxa"/>
            <w:vAlign w:val="center"/>
          </w:tcPr>
          <w:p w14:paraId="18E73013">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000000" w:themeColor="text1"/>
                <w:sz w:val="24"/>
                <w:szCs w:val="24"/>
                <w14:textFill>
                  <w14:solidFill>
                    <w14:schemeClr w14:val="tx1"/>
                  </w14:solidFill>
                </w14:textFill>
              </w:rPr>
              <w:t>采购代理服务费</w:t>
            </w:r>
            <w:r>
              <w:rPr>
                <w:rFonts w:hint="eastAsia" w:ascii="仿宋" w:hAns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14:paraId="7C907349">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lang w:val="zh-CN" w:eastAsia="zh-CN" w:bidi="ar-SA"/>
              </w:rPr>
              <w:t>本项目预算已包含采购代理服务费,根据委托代理协议约定，本项目采购代理服</w:t>
            </w:r>
            <w:r>
              <w:rPr>
                <w:rFonts w:hint="eastAsia" w:ascii="仿宋" w:hAnsi="仿宋" w:eastAsia="仿宋" w:cs="仿宋"/>
                <w:bCs/>
                <w:color w:val="auto"/>
                <w:kern w:val="2"/>
                <w:sz w:val="24"/>
                <w:szCs w:val="24"/>
                <w:highlight w:val="none"/>
                <w:lang w:val="zh-CN" w:eastAsia="zh-CN" w:bidi="ar-SA"/>
              </w:rPr>
              <w:t>务费按照</w:t>
            </w:r>
            <w:r>
              <w:rPr>
                <w:rFonts w:hint="eastAsia" w:ascii="仿宋" w:hAnsi="仿宋" w:eastAsia="仿宋" w:cs="仿宋"/>
                <w:bCs/>
                <w:color w:val="auto"/>
                <w:kern w:val="2"/>
                <w:sz w:val="24"/>
                <w:szCs w:val="24"/>
                <w:highlight w:val="none"/>
                <w:lang w:val="en-US" w:eastAsia="zh-CN" w:bidi="ar-SA"/>
              </w:rPr>
              <w:t>3000.00</w:t>
            </w:r>
            <w:r>
              <w:rPr>
                <w:rFonts w:hint="eastAsia" w:ascii="仿宋" w:hAnsi="仿宋" w:eastAsia="仿宋" w:cs="仿宋"/>
                <w:bCs/>
                <w:color w:val="auto"/>
                <w:kern w:val="2"/>
                <w:sz w:val="24"/>
                <w:szCs w:val="24"/>
                <w:highlight w:val="none"/>
                <w:lang w:val="zh-CN" w:eastAsia="zh-CN" w:bidi="ar-SA"/>
              </w:rPr>
              <w:t>元（</w:t>
            </w:r>
            <w:r>
              <w:rPr>
                <w:rFonts w:hint="eastAsia" w:ascii="仿宋" w:hAnsi="仿宋" w:eastAsia="仿宋" w:cs="仿宋"/>
                <w:bCs/>
                <w:color w:val="auto"/>
                <w:kern w:val="2"/>
                <w:sz w:val="24"/>
                <w:szCs w:val="24"/>
                <w:highlight w:val="none"/>
                <w:lang w:val="en-US" w:eastAsia="zh-CN" w:bidi="ar-SA"/>
              </w:rPr>
              <w:t>大写：叁仟元整</w:t>
            </w:r>
            <w:r>
              <w:rPr>
                <w:rFonts w:hint="eastAsia" w:ascii="仿宋" w:hAnsi="仿宋" w:eastAsia="仿宋" w:cs="仿宋"/>
                <w:bCs/>
                <w:color w:val="auto"/>
                <w:kern w:val="2"/>
                <w:sz w:val="24"/>
                <w:szCs w:val="24"/>
                <w:highlight w:val="none"/>
                <w:lang w:val="zh-CN" w:eastAsia="zh-CN" w:bidi="ar-SA"/>
              </w:rPr>
              <w:t>）收取，由成交供应商支付。</w:t>
            </w:r>
          </w:p>
          <w:p w14:paraId="067F1B8E">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代理服务费收款账户：</w:t>
            </w:r>
          </w:p>
          <w:p w14:paraId="6FED022A">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户    名：四川久润招投标代理有限公司</w:t>
            </w:r>
          </w:p>
          <w:p w14:paraId="767E82CB">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en-US" w:eastAsia="zh-CN" w:bidi="ar-SA"/>
              </w:rPr>
              <w:t>账</w:t>
            </w:r>
            <w:r>
              <w:rPr>
                <w:rFonts w:hint="eastAsia" w:ascii="仿宋" w:hAnsi="仿宋" w:eastAsia="仿宋" w:cs="仿宋"/>
                <w:bCs/>
                <w:color w:val="auto"/>
                <w:kern w:val="2"/>
                <w:sz w:val="24"/>
                <w:szCs w:val="24"/>
                <w:lang w:val="zh-CN" w:eastAsia="zh-CN" w:bidi="ar-SA"/>
              </w:rPr>
              <w:t xml:space="preserve">    号：102012000001139849</w:t>
            </w:r>
          </w:p>
          <w:p w14:paraId="5442708A">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开 户 行：自贡银行股份有限公司营业部</w:t>
            </w:r>
          </w:p>
          <w:p w14:paraId="415CE720">
            <w:pPr>
              <w:pStyle w:val="82"/>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ascii="仿宋" w:hAnsi="仿宋" w:eastAsia="仿宋" w:cs="仿宋"/>
                <w:color w:val="auto"/>
                <w:sz w:val="24"/>
                <w:szCs w:val="24"/>
              </w:rPr>
            </w:pPr>
            <w:r>
              <w:rPr>
                <w:rFonts w:hint="eastAsia" w:ascii="仿宋" w:hAnsi="仿宋" w:eastAsia="仿宋" w:cs="仿宋"/>
                <w:bCs/>
                <w:color w:val="auto"/>
                <w:kern w:val="2"/>
                <w:sz w:val="24"/>
                <w:szCs w:val="24"/>
                <w:lang w:val="zh-CN" w:eastAsia="zh-CN" w:bidi="ar-SA"/>
              </w:rPr>
              <w:t>联系电话：0813-2220079</w:t>
            </w:r>
          </w:p>
        </w:tc>
      </w:tr>
      <w:tr w14:paraId="7BE8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14:paraId="566F391B">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8</w:t>
            </w:r>
          </w:p>
        </w:tc>
        <w:tc>
          <w:tcPr>
            <w:tcW w:w="2093" w:type="dxa"/>
            <w:vAlign w:val="center"/>
          </w:tcPr>
          <w:p w14:paraId="41E519E9">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bCs/>
                <w:color w:val="auto"/>
                <w:sz w:val="24"/>
                <w:szCs w:val="24"/>
              </w:rPr>
              <w:t>本次采购活动适用法律、法规的特别约定和说明</w:t>
            </w:r>
          </w:p>
        </w:tc>
        <w:tc>
          <w:tcPr>
            <w:tcW w:w="6705" w:type="dxa"/>
            <w:vAlign w:val="center"/>
          </w:tcPr>
          <w:p w14:paraId="1FEE025D">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14:paraId="5AE43538">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2、 本采购活动不受《中华人民共和国政府采购法》、《中华人民共和国政府采购法实施条例》及其相关政府采购法律、法规制度的调整约束。竞标人愿意接受本采购文件之要约内容，即参与采购活动；不能接受本采购文件之要约内容，则无需参与；本项目</w:t>
            </w:r>
            <w:r>
              <w:rPr>
                <w:rFonts w:hint="eastAsia" w:ascii="仿宋" w:hAnsi="仿宋" w:eastAsia="仿宋" w:cs="仿宋"/>
                <w:bCs/>
                <w:color w:val="auto"/>
                <w:sz w:val="24"/>
                <w:szCs w:val="24"/>
                <w:lang w:eastAsia="zh-CN"/>
              </w:rPr>
              <w:t>不接受</w:t>
            </w:r>
            <w:r>
              <w:rPr>
                <w:rFonts w:hint="eastAsia" w:ascii="仿宋" w:hAnsi="仿宋" w:eastAsia="仿宋" w:cs="仿宋"/>
                <w:bCs/>
                <w:color w:val="auto"/>
                <w:sz w:val="24"/>
                <w:szCs w:val="24"/>
              </w:rPr>
              <w:t>质疑、投诉。</w:t>
            </w:r>
          </w:p>
        </w:tc>
      </w:tr>
      <w:tr w14:paraId="7B63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6C03BD1D">
            <w:pPr>
              <w:pStyle w:val="82"/>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19</w:t>
            </w:r>
          </w:p>
        </w:tc>
        <w:tc>
          <w:tcPr>
            <w:tcW w:w="2093" w:type="dxa"/>
            <w:vAlign w:val="center"/>
          </w:tcPr>
          <w:p w14:paraId="6A961D20">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color w:val="auto"/>
                <w:sz w:val="24"/>
                <w:szCs w:val="24"/>
              </w:rPr>
              <w:t>确定供应商的程序及规则</w:t>
            </w:r>
          </w:p>
        </w:tc>
        <w:tc>
          <w:tcPr>
            <w:tcW w:w="6705" w:type="dxa"/>
            <w:vAlign w:val="center"/>
          </w:tcPr>
          <w:p w14:paraId="42275F39">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本次采购活动，采购人和代理机构为了公平起见，参考了政府采购法规制度中的部分评审程序和评审方法来评审确定成交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tc>
      </w:tr>
      <w:tr w14:paraId="726C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14:paraId="5DB8AE86">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20</w:t>
            </w:r>
          </w:p>
        </w:tc>
        <w:tc>
          <w:tcPr>
            <w:tcW w:w="2093" w:type="dxa"/>
            <w:vAlign w:val="center"/>
          </w:tcPr>
          <w:p w14:paraId="30586B32">
            <w:pPr>
              <w:pStyle w:val="82"/>
              <w:widowControl/>
              <w:spacing w:before="0"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信用记录查询及使用</w:t>
            </w:r>
          </w:p>
          <w:p w14:paraId="6DBB0411">
            <w:pPr>
              <w:pStyle w:val="82"/>
              <w:widowControl/>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p>
        </w:tc>
        <w:tc>
          <w:tcPr>
            <w:tcW w:w="6705" w:type="dxa"/>
            <w:vAlign w:val="center"/>
          </w:tcPr>
          <w:p w14:paraId="000612D4">
            <w:pPr>
              <w:pStyle w:val="82"/>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Cs w:val="24"/>
              </w:rPr>
            </w:pPr>
            <w:r>
              <w:rPr>
                <w:rFonts w:hint="eastAsia" w:ascii="仿宋" w:hAnsi="仿宋" w:eastAsia="仿宋" w:cs="仿宋"/>
                <w:color w:val="auto"/>
                <w:szCs w:val="24"/>
              </w:rPr>
              <w:t>采购人、采购代理机构在供应商提交</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文件时间截止后，通过“信用中国”网站（www.creditchina.gov.cn）、“中国政府采购网”网站（www.ccgp.gov.cn）等渠道查询递交了</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文件的供应商的信用记录。经查询，截至</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文件提交截止日，列入失信被执行人、重大税收违法案件当事人名单、政府采购严重违法失信行为记录名单的供应商，不得参与本项目采购活动。</w:t>
            </w:r>
          </w:p>
          <w:p w14:paraId="158BCCC9">
            <w:pPr>
              <w:pStyle w:val="82"/>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Cs w:val="24"/>
              </w:rPr>
              <w:t>以联合体形式参加本项目采购活动，联合体成员存在前述不良信用记录的，视同联合体存在前述不良信用记录，不得参与本项目采购活动。前述无效</w:t>
            </w:r>
            <w:r>
              <w:rPr>
                <w:rFonts w:hint="eastAsia" w:ascii="仿宋" w:hAnsi="仿宋" w:eastAsia="仿宋" w:cs="仿宋"/>
                <w:color w:val="auto"/>
                <w:szCs w:val="24"/>
                <w:lang w:eastAsia="zh-CN"/>
              </w:rPr>
              <w:t>供应商</w:t>
            </w:r>
            <w:r>
              <w:rPr>
                <w:rFonts w:hint="eastAsia" w:ascii="仿宋" w:hAnsi="仿宋" w:eastAsia="仿宋" w:cs="仿宋"/>
                <w:color w:val="auto"/>
                <w:szCs w:val="24"/>
              </w:rPr>
              <w:t>的信用记录查询结果网页截图将予以保存。</w:t>
            </w:r>
          </w:p>
        </w:tc>
      </w:tr>
      <w:tr w14:paraId="6AD4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14:paraId="12114762">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21</w:t>
            </w:r>
          </w:p>
        </w:tc>
        <w:tc>
          <w:tcPr>
            <w:tcW w:w="2093" w:type="dxa"/>
            <w:vAlign w:val="center"/>
          </w:tcPr>
          <w:p w14:paraId="32E2BF2C">
            <w:pPr>
              <w:pStyle w:val="82"/>
              <w:spacing w:before="0" w:beforeLines="0" w:after="63" w:afterLines="20" w:line="400" w:lineRule="exact"/>
              <w:ind w:left="42" w:leftChars="20" w:right="42" w:rightChars="20" w:firstLine="0" w:firstLineChars="0"/>
              <w:jc w:val="center"/>
              <w:rPr>
                <w:rFonts w:hint="eastAsia" w:ascii="仿宋" w:hAnsi="仿宋" w:eastAsia="仿宋" w:cs="仿宋"/>
                <w:color w:val="auto"/>
                <w:sz w:val="24"/>
                <w:szCs w:val="24"/>
              </w:rPr>
            </w:pPr>
            <w:r>
              <w:rPr>
                <w:rFonts w:hint="eastAsia" w:ascii="仿宋" w:hAnsi="仿宋" w:eastAsia="仿宋" w:cs="仿宋"/>
                <w:color w:val="auto"/>
                <w:szCs w:val="24"/>
              </w:rPr>
              <w:t>充分、公平竞争保障措施</w:t>
            </w:r>
          </w:p>
        </w:tc>
        <w:tc>
          <w:tcPr>
            <w:tcW w:w="6705" w:type="dxa"/>
            <w:vAlign w:val="center"/>
          </w:tcPr>
          <w:p w14:paraId="63E09602">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单位负责人为同一人或者存在直接控股、管理关系的不同供应商不得参加同一合同项下的采购活动。 </w:t>
            </w:r>
          </w:p>
          <w:p w14:paraId="256E3C92">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不同供应商不得在同一合同项下的采购项目中，委托同一个自然人、同一单位的人员编制响应文件。</w:t>
            </w:r>
          </w:p>
          <w:p w14:paraId="250C3FCE">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不同供应商不得在同一合同项下的采购项目中，委托同一个自然人、同一单位的人员办理响应事宜。</w:t>
            </w:r>
          </w:p>
          <w:p w14:paraId="0622FA44">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不同供应商的响应文件载明的项目管理成员或者联系人员不得为同一人。</w:t>
            </w:r>
          </w:p>
          <w:p w14:paraId="3A241D05">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不同供应商的响应文件不得相互混装。</w:t>
            </w:r>
          </w:p>
          <w:p w14:paraId="3C38B8BD">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14:paraId="56D4A34D">
            <w:pPr>
              <w:pStyle w:val="82"/>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本项目符合本条规定的供应商是：</w:t>
            </w:r>
            <w:r>
              <w:rPr>
                <w:rFonts w:hint="eastAsia" w:ascii="仿宋" w:hAnsi="仿宋" w:eastAsia="仿宋" w:cs="仿宋"/>
                <w:color w:val="auto"/>
                <w:sz w:val="24"/>
                <w:szCs w:val="24"/>
                <w:u w:val="single"/>
              </w:rPr>
              <w:t xml:space="preserve">  无   </w:t>
            </w:r>
            <w:r>
              <w:rPr>
                <w:rFonts w:hint="eastAsia" w:ascii="仿宋" w:hAnsi="仿宋" w:eastAsia="仿宋" w:cs="仿宋"/>
                <w:color w:val="auto"/>
                <w:sz w:val="24"/>
                <w:szCs w:val="24"/>
              </w:rPr>
              <w:t>。</w:t>
            </w:r>
          </w:p>
          <w:p w14:paraId="5F438F36">
            <w:pPr>
              <w:autoSpaceDE w:val="0"/>
              <w:autoSpaceDN w:val="0"/>
              <w:adjustRightInd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本项目采购代理及其分支机构不得作为供应商参加本项目采购活动。</w:t>
            </w:r>
          </w:p>
        </w:tc>
      </w:tr>
      <w:tr w14:paraId="55324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14:paraId="3FAE057A">
            <w:pPr>
              <w:pStyle w:val="82"/>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22</w:t>
            </w:r>
          </w:p>
        </w:tc>
        <w:tc>
          <w:tcPr>
            <w:tcW w:w="2093" w:type="dxa"/>
            <w:vAlign w:val="center"/>
          </w:tcPr>
          <w:p w14:paraId="0863AD2F">
            <w:pPr>
              <w:pStyle w:val="87"/>
              <w:spacing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b/>
                <w:bCs/>
                <w:color w:val="auto"/>
                <w:sz w:val="24"/>
              </w:rPr>
              <w:t>其他特别约定事项</w:t>
            </w:r>
          </w:p>
        </w:tc>
        <w:tc>
          <w:tcPr>
            <w:tcW w:w="6705" w:type="dxa"/>
            <w:vAlign w:val="center"/>
          </w:tcPr>
          <w:p w14:paraId="5E1EC8D1">
            <w:pPr>
              <w:pStyle w:val="82"/>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rPr>
              <w:t>评审委在对</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w:t>
            </w:r>
            <w:r>
              <w:rPr>
                <w:rFonts w:hint="eastAsia" w:ascii="仿宋" w:hAnsi="仿宋" w:eastAsia="仿宋" w:cs="仿宋"/>
                <w:color w:val="auto"/>
              </w:rPr>
              <w:t>为了提高评审效率，评审中需要供应商进行现场</w:t>
            </w:r>
            <w:r>
              <w:rPr>
                <w:rFonts w:hint="eastAsia" w:ascii="仿宋" w:hAnsi="仿宋" w:eastAsia="仿宋" w:cs="仿宋"/>
                <w:color w:val="auto"/>
                <w:lang w:eastAsia="zh-CN"/>
              </w:rPr>
              <w:t>谈判</w:t>
            </w:r>
            <w:r>
              <w:rPr>
                <w:rFonts w:hint="eastAsia" w:ascii="仿宋" w:hAnsi="仿宋" w:eastAsia="仿宋" w:cs="仿宋"/>
                <w:color w:val="auto"/>
              </w:rPr>
              <w:t>或书面答疑、澄清的，采购人或采购代理机构按供应商预留的联系方式通知到供应商后，供应商应当在自接到采购人或采购代理机构通知后</w:t>
            </w:r>
            <w:r>
              <w:rPr>
                <w:rFonts w:hint="eastAsia" w:ascii="仿宋" w:hAnsi="仿宋" w:eastAsia="仿宋" w:cs="仿宋"/>
                <w:b/>
                <w:bCs/>
                <w:color w:val="auto"/>
              </w:rPr>
              <w:t>30分钟内</w:t>
            </w:r>
            <w:r>
              <w:rPr>
                <w:rFonts w:hint="eastAsia" w:ascii="仿宋" w:hAnsi="仿宋" w:eastAsia="仿宋" w:cs="仿宋"/>
                <w:color w:val="auto"/>
              </w:rPr>
              <w:t>到达评审现场接受</w:t>
            </w:r>
            <w:r>
              <w:rPr>
                <w:rFonts w:hint="eastAsia" w:ascii="仿宋" w:hAnsi="仿宋" w:eastAsia="仿宋" w:cs="仿宋"/>
                <w:color w:val="auto"/>
                <w:lang w:eastAsia="zh-CN"/>
              </w:rPr>
              <w:t>谈判</w:t>
            </w:r>
            <w:r>
              <w:rPr>
                <w:rFonts w:hint="eastAsia" w:ascii="仿宋" w:hAnsi="仿宋" w:eastAsia="仿宋" w:cs="仿宋"/>
                <w:color w:val="auto"/>
              </w:rPr>
              <w:t>或答疑、澄清，供应商未按此规定时间要求到达现场</w:t>
            </w:r>
            <w:r>
              <w:rPr>
                <w:rFonts w:hint="eastAsia" w:ascii="仿宋" w:hAnsi="仿宋" w:eastAsia="仿宋" w:cs="仿宋"/>
                <w:color w:val="auto"/>
                <w:lang w:eastAsia="zh-CN"/>
              </w:rPr>
              <w:t>谈判</w:t>
            </w:r>
            <w:r>
              <w:rPr>
                <w:rFonts w:hint="eastAsia" w:ascii="仿宋" w:hAnsi="仿宋" w:eastAsia="仿宋" w:cs="仿宋"/>
                <w:color w:val="auto"/>
              </w:rPr>
              <w:t>或答疑、澄清的，视为放弃（或拒绝）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或答疑、澄清权，评审委有权作出不利于供应商的评判；若供应商不在开标现场且按其预留的联系方式无法通知到的，视为放弃（或拒绝）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或答疑、澄清权，评审委有权作出不利于供应商的评判，不利后果由供应商自行承担。</w:t>
            </w:r>
          </w:p>
        </w:tc>
      </w:tr>
    </w:tbl>
    <w:p w14:paraId="1BE81635">
      <w:pPr>
        <w:spacing w:before="313" w:beforeLines="100" w:after="313" w:afterLines="100" w:line="240" w:lineRule="auto"/>
        <w:ind w:firstLine="301" w:firstLineChars="100"/>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二、总 则</w:t>
      </w:r>
    </w:p>
    <w:p w14:paraId="48DB5C72">
      <w:pPr>
        <w:spacing w:line="360" w:lineRule="auto"/>
        <w:ind w:firstLine="482" w:firstLineChars="200"/>
        <w:rPr>
          <w:rFonts w:ascii="仿宋" w:hAnsi="仿宋" w:eastAsia="仿宋" w:cs="仿宋"/>
          <w:b/>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color w:val="auto"/>
          <w:sz w:val="24"/>
        </w:rPr>
        <w:t>适用范围</w:t>
      </w:r>
    </w:p>
    <w:p w14:paraId="09C67164">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本竞争性谈判文件仅适用于本次采购项目。</w:t>
      </w:r>
    </w:p>
    <w:p w14:paraId="3B532A0C">
      <w:pPr>
        <w:spacing w:line="360" w:lineRule="auto"/>
        <w:ind w:firstLine="480"/>
        <w:rPr>
          <w:rFonts w:hint="eastAsia" w:ascii="仿宋" w:hAnsi="仿宋" w:eastAsia="仿宋" w:cs="仿宋"/>
          <w:color w:val="auto"/>
        </w:rPr>
      </w:pPr>
    </w:p>
    <w:p w14:paraId="242E0E6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2.有关定义</w:t>
      </w:r>
    </w:p>
    <w:p w14:paraId="6E9F41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2.1“采购人</w:t>
      </w:r>
      <w:r>
        <w:rPr>
          <w:rFonts w:hint="eastAsia" w:ascii="仿宋" w:hAnsi="仿宋" w:eastAsia="仿宋" w:cs="仿宋"/>
          <w:bCs/>
          <w:color w:val="auto"/>
          <w:sz w:val="24"/>
          <w:highlight w:val="none"/>
        </w:rPr>
        <w:t>”系指</w:t>
      </w:r>
      <w:r>
        <w:rPr>
          <w:rFonts w:hint="eastAsia" w:ascii="仿宋" w:hAnsi="仿宋" w:eastAsia="仿宋" w:cs="仿宋"/>
          <w:bCs/>
          <w:color w:val="auto"/>
          <w:sz w:val="24"/>
          <w:highlight w:val="none"/>
          <w:lang w:eastAsia="zh-CN"/>
        </w:rPr>
        <w:t>富顺县中医医院；</w:t>
      </w:r>
    </w:p>
    <w:p w14:paraId="501C3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2.2“采购代理机构”系指四川久润招投标代理有限公司</w:t>
      </w:r>
      <w:r>
        <w:rPr>
          <w:rFonts w:hint="eastAsia" w:ascii="仿宋" w:hAnsi="仿宋" w:eastAsia="仿宋" w:cs="仿宋"/>
          <w:bCs/>
          <w:color w:val="auto"/>
          <w:sz w:val="24"/>
          <w:lang w:eastAsia="zh-CN"/>
        </w:rPr>
        <w:t>；</w:t>
      </w:r>
    </w:p>
    <w:p w14:paraId="7D351F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2.3“采购单位”系指“采购人”和“采购代理机构”的统称</w:t>
      </w:r>
      <w:r>
        <w:rPr>
          <w:rFonts w:hint="eastAsia" w:ascii="仿宋" w:hAnsi="仿宋" w:eastAsia="仿宋" w:cs="仿宋"/>
          <w:bCs/>
          <w:color w:val="auto"/>
          <w:sz w:val="24"/>
          <w:lang w:eastAsia="zh-CN"/>
        </w:rPr>
        <w:t>；</w:t>
      </w:r>
    </w:p>
    <w:p w14:paraId="2EC88EA9">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4“供应商”系指响应谈判，拟向采购人提供货物、工程或者服务的法人、其他组织或者自然人。</w:t>
      </w:r>
    </w:p>
    <w:p w14:paraId="31910D86">
      <w:pPr>
        <w:spacing w:line="360" w:lineRule="auto"/>
        <w:ind w:firstLine="480"/>
        <w:rPr>
          <w:rFonts w:hint="eastAsia" w:ascii="仿宋" w:hAnsi="仿宋" w:eastAsia="仿宋" w:cs="仿宋"/>
          <w:bCs/>
          <w:color w:val="auto"/>
          <w:sz w:val="24"/>
        </w:rPr>
      </w:pPr>
    </w:p>
    <w:p w14:paraId="0009BC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合格的供应商（实质性要求）</w:t>
      </w:r>
    </w:p>
    <w:p w14:paraId="6C0EF8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合格的供应商应具备以下条件：</w:t>
      </w:r>
    </w:p>
    <w:p w14:paraId="6618F56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遵守国家有关的法律和法规，符合本竞争性谈判文件规定的供应商资格条件；</w:t>
      </w:r>
    </w:p>
    <w:p w14:paraId="2E24357A">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不属于禁止参加本项目采购活动的供应商；</w:t>
      </w:r>
    </w:p>
    <w:p w14:paraId="59ABD5CD">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w:t>
      </w:r>
      <w:r>
        <w:rPr>
          <w:rFonts w:hint="eastAsia" w:ascii="仿宋" w:hAnsi="仿宋" w:eastAsia="仿宋" w:cs="仿宋"/>
          <w:bCs/>
          <w:color w:val="auto"/>
          <w:sz w:val="24"/>
        </w:rPr>
        <w:t>按照规定获取了竞争性谈判文件，属于实质性参加采购活动的供应商。</w:t>
      </w:r>
    </w:p>
    <w:p w14:paraId="6C70392C">
      <w:pPr>
        <w:spacing w:line="360" w:lineRule="auto"/>
        <w:ind w:firstLine="482" w:firstLineChars="200"/>
        <w:rPr>
          <w:rFonts w:hint="eastAsia" w:ascii="仿宋" w:hAnsi="仿宋" w:eastAsia="仿宋" w:cs="仿宋"/>
          <w:b/>
          <w:color w:val="auto"/>
          <w:sz w:val="24"/>
        </w:rPr>
      </w:pPr>
    </w:p>
    <w:p w14:paraId="1A0201C0">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谈判费用（实质性要求）</w:t>
      </w:r>
    </w:p>
    <w:p w14:paraId="64B8F55F">
      <w:pPr>
        <w:spacing w:line="360" w:lineRule="auto"/>
        <w:ind w:firstLine="488"/>
        <w:rPr>
          <w:rFonts w:hint="eastAsia" w:ascii="仿宋" w:hAnsi="仿宋" w:eastAsia="仿宋" w:cs="仿宋"/>
          <w:bCs/>
          <w:color w:val="auto"/>
          <w:sz w:val="24"/>
        </w:rPr>
      </w:pPr>
      <w:r>
        <w:rPr>
          <w:rFonts w:hint="eastAsia" w:ascii="仿宋" w:hAnsi="仿宋" w:eastAsia="仿宋" w:cs="仿宋"/>
          <w:bCs/>
          <w:color w:val="auto"/>
          <w:sz w:val="24"/>
        </w:rPr>
        <w:t>供应商应自行承担准备和参加谈判的全部费用。不论谈判的结果如何，采购单位均无义务和责任承担这些费用。</w:t>
      </w:r>
    </w:p>
    <w:p w14:paraId="4A73C39A">
      <w:pPr>
        <w:spacing w:line="360" w:lineRule="auto"/>
        <w:ind w:firstLine="488"/>
        <w:rPr>
          <w:rFonts w:hint="eastAsia" w:ascii="仿宋" w:hAnsi="仿宋" w:eastAsia="仿宋" w:cs="仿宋"/>
          <w:color w:val="auto"/>
        </w:rPr>
      </w:pPr>
    </w:p>
    <w:p w14:paraId="52FA0195">
      <w:pPr>
        <w:spacing w:line="360" w:lineRule="auto"/>
        <w:ind w:left="1" w:firstLine="482" w:firstLineChars="200"/>
        <w:rPr>
          <w:rFonts w:hint="eastAsia" w:ascii="仿宋" w:hAnsi="仿宋" w:eastAsia="仿宋" w:cs="仿宋"/>
          <w:color w:val="auto"/>
          <w:sz w:val="24"/>
          <w:szCs w:val="24"/>
        </w:rPr>
      </w:pPr>
      <w:r>
        <w:rPr>
          <w:rFonts w:hint="eastAsia" w:ascii="仿宋" w:hAnsi="仿宋" w:eastAsia="仿宋" w:cs="仿宋"/>
          <w:b/>
          <w:bCs w:val="0"/>
          <w:color w:val="auto"/>
          <w:sz w:val="24"/>
          <w:lang w:val="en-US" w:eastAsia="zh-CN"/>
        </w:rPr>
        <w:t>5.</w:t>
      </w:r>
      <w:r>
        <w:rPr>
          <w:rFonts w:hint="eastAsia" w:ascii="仿宋" w:hAnsi="仿宋" w:eastAsia="仿宋" w:cs="仿宋"/>
          <w:b/>
          <w:color w:val="auto"/>
          <w:sz w:val="24"/>
          <w:szCs w:val="24"/>
        </w:rPr>
        <w:t>回避（实质性要求）</w:t>
      </w:r>
    </w:p>
    <w:p w14:paraId="4BD177DF">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5.1</w:t>
      </w:r>
      <w:r>
        <w:rPr>
          <w:rFonts w:hint="eastAsia" w:ascii="仿宋" w:hAnsi="仿宋" w:eastAsia="仿宋" w:cs="仿宋"/>
          <w:color w:val="auto"/>
          <w:sz w:val="24"/>
          <w:szCs w:val="24"/>
        </w:rPr>
        <w:t>采购活动中，采购人员及相关人员与供应商有下列利害关系之一的，应当回避：</w:t>
      </w:r>
    </w:p>
    <w:p w14:paraId="34E4F595">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（1）</w:t>
      </w:r>
      <w:r>
        <w:rPr>
          <w:rFonts w:hint="eastAsia" w:ascii="仿宋" w:hAnsi="仿宋" w:eastAsia="仿宋" w:cs="仿宋"/>
          <w:color w:val="auto"/>
          <w:sz w:val="24"/>
          <w:szCs w:val="24"/>
        </w:rPr>
        <w:t>参加采购活动前3年内与供应商存在劳动关系；</w:t>
      </w:r>
    </w:p>
    <w:p w14:paraId="51EF95C2">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（2）</w:t>
      </w:r>
      <w:r>
        <w:rPr>
          <w:rFonts w:hint="eastAsia" w:ascii="仿宋" w:hAnsi="仿宋" w:eastAsia="仿宋" w:cs="仿宋"/>
          <w:color w:val="auto"/>
          <w:sz w:val="24"/>
          <w:szCs w:val="24"/>
        </w:rPr>
        <w:t>参加采购活动前3年内担任供应商的董事、监事；</w:t>
      </w:r>
    </w:p>
    <w:p w14:paraId="6C432A37">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（3）</w:t>
      </w:r>
      <w:r>
        <w:rPr>
          <w:rFonts w:hint="eastAsia" w:ascii="仿宋" w:hAnsi="仿宋" w:eastAsia="仿宋" w:cs="仿宋"/>
          <w:color w:val="auto"/>
          <w:sz w:val="24"/>
          <w:szCs w:val="24"/>
        </w:rPr>
        <w:t>参加采购活动前3年内是供应商的控股股东或者实际控制人；</w:t>
      </w:r>
    </w:p>
    <w:p w14:paraId="756032D6">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（4）</w:t>
      </w:r>
      <w:r>
        <w:rPr>
          <w:rFonts w:hint="eastAsia" w:ascii="仿宋" w:hAnsi="仿宋" w:eastAsia="仿宋" w:cs="仿宋"/>
          <w:color w:val="auto"/>
          <w:sz w:val="24"/>
          <w:szCs w:val="24"/>
        </w:rPr>
        <w:t>与供应商的法定代表人或者负责人有夫妻、直系血亲、三代以内旁系血亲或者近姻亲关系；</w:t>
      </w:r>
    </w:p>
    <w:p w14:paraId="0FDD88D9">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bCs/>
          <w:color w:val="auto"/>
          <w:sz w:val="24"/>
          <w:lang w:val="en-US" w:eastAsia="zh-CN"/>
        </w:rPr>
        <w:t>（5）</w:t>
      </w:r>
      <w:r>
        <w:rPr>
          <w:rFonts w:hint="eastAsia" w:ascii="仿宋" w:hAnsi="仿宋" w:eastAsia="仿宋" w:cs="仿宋"/>
          <w:color w:val="auto"/>
          <w:sz w:val="24"/>
          <w:szCs w:val="24"/>
        </w:rPr>
        <w:t>与供应商有其他可能影响采购活动公平、公正进行的关系。</w:t>
      </w:r>
    </w:p>
    <w:p w14:paraId="7DF79973">
      <w:pPr>
        <w:pStyle w:val="88"/>
        <w:spacing w:line="360" w:lineRule="auto"/>
        <w:ind w:left="1"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5.2</w:t>
      </w:r>
      <w:r>
        <w:rPr>
          <w:rFonts w:hint="eastAsia" w:ascii="仿宋" w:hAnsi="仿宋" w:eastAsia="仿宋" w:cs="仿宋"/>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小组成员。</w:t>
      </w:r>
    </w:p>
    <w:p w14:paraId="1ADCC15C">
      <w:pPr>
        <w:spacing w:line="360" w:lineRule="auto"/>
        <w:ind w:firstLine="480" w:firstLineChars="200"/>
        <w:outlineLvl w:val="9"/>
        <w:rPr>
          <w:rFonts w:ascii="仿宋" w:hAnsi="仿宋" w:eastAsia="仿宋" w:cs="仿宋"/>
          <w:b/>
          <w:color w:val="auto"/>
          <w:sz w:val="24"/>
        </w:rPr>
      </w:pPr>
      <w:r>
        <w:rPr>
          <w:rFonts w:hint="eastAsia" w:ascii="仿宋" w:hAnsi="仿宋" w:eastAsia="仿宋" w:cs="仿宋"/>
          <w:color w:val="auto"/>
          <w:sz w:val="24"/>
          <w:szCs w:val="24"/>
          <w:lang w:val="en-US" w:eastAsia="zh-CN"/>
        </w:rPr>
        <w:t>5.3</w:t>
      </w:r>
      <w:r>
        <w:rPr>
          <w:rFonts w:hint="eastAsia" w:ascii="仿宋" w:hAns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2873B14F">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三、竞争性谈判文件</w:t>
      </w:r>
    </w:p>
    <w:p w14:paraId="3A0551B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竞争性谈判文件的构成</w:t>
      </w:r>
    </w:p>
    <w:p w14:paraId="6BC6E6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14:paraId="0CA702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谈判邀请；</w:t>
      </w:r>
    </w:p>
    <w:p w14:paraId="7979DC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供应商谈判须知；</w:t>
      </w:r>
    </w:p>
    <w:p w14:paraId="3A8AF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供应商的资格条件要求；</w:t>
      </w:r>
    </w:p>
    <w:p w14:paraId="1F89C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供应商应当提供的资格证明材料；</w:t>
      </w:r>
    </w:p>
    <w:p w14:paraId="55D700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采购项目内容及商务要求；</w:t>
      </w:r>
    </w:p>
    <w:p w14:paraId="6570AA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谈判内容、谈判过程中可能实质性变动的内容；</w:t>
      </w:r>
    </w:p>
    <w:p w14:paraId="0A924E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响应文件主要格式要求；</w:t>
      </w:r>
    </w:p>
    <w:p w14:paraId="43680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rPr>
      </w:pPr>
      <w:r>
        <w:rPr>
          <w:rFonts w:hint="eastAsia" w:ascii="仿宋" w:hAnsi="仿宋" w:eastAsia="仿宋" w:cs="仿宋"/>
          <w:bCs/>
          <w:color w:val="auto"/>
          <w:sz w:val="24"/>
          <w:lang w:val="en-US" w:eastAsia="zh-CN"/>
        </w:rPr>
        <w:t>（8）</w:t>
      </w:r>
      <w:r>
        <w:rPr>
          <w:rFonts w:hint="eastAsia" w:ascii="仿宋" w:hAnsi="仿宋" w:eastAsia="仿宋" w:cs="仿宋"/>
          <w:bCs/>
          <w:color w:val="auto"/>
          <w:sz w:val="24"/>
        </w:rPr>
        <w:t>评审办法；</w:t>
      </w:r>
    </w:p>
    <w:p w14:paraId="000F0B55">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（9）</w:t>
      </w:r>
      <w:r>
        <w:rPr>
          <w:rFonts w:hint="eastAsia" w:ascii="仿宋" w:hAnsi="仿宋" w:eastAsia="仿宋" w:cs="仿宋"/>
          <w:bCs/>
          <w:color w:val="auto"/>
          <w:sz w:val="24"/>
        </w:rPr>
        <w:t>采购合同（样例）；</w:t>
      </w:r>
    </w:p>
    <w:p w14:paraId="1B3B92F0">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（10）</w:t>
      </w:r>
      <w:r>
        <w:rPr>
          <w:rFonts w:hint="eastAsia" w:ascii="仿宋" w:hAnsi="仿宋" w:eastAsia="仿宋" w:cs="仿宋"/>
          <w:bCs/>
          <w:color w:val="auto"/>
          <w:sz w:val="24"/>
        </w:rPr>
        <w:t>附件。</w:t>
      </w:r>
    </w:p>
    <w:p w14:paraId="316790C6">
      <w:pPr>
        <w:pStyle w:val="2"/>
        <w:spacing w:line="360" w:lineRule="auto"/>
        <w:ind w:firstLine="480" w:firstLineChars="200"/>
        <w:jc w:val="both"/>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6.2供应商应认真阅读和充分理解谈判文件中所有的事项、格式条款和规范要求。并保证所提供的全部资料的真实性和有效性，一经发现有虚假行为的，将取消其参加谈判或成交资格，并承担相应的法律责任。</w:t>
      </w:r>
    </w:p>
    <w:p w14:paraId="1DEE9B9F">
      <w:pPr>
        <w:spacing w:line="360" w:lineRule="auto"/>
        <w:ind w:firstLine="486"/>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14:paraId="11B8AA70">
      <w:pPr>
        <w:spacing w:line="360" w:lineRule="auto"/>
        <w:ind w:firstLine="486"/>
        <w:rPr>
          <w:rFonts w:hint="eastAsia" w:ascii="仿宋" w:hAnsi="仿宋" w:eastAsia="仿宋" w:cs="仿宋"/>
          <w:color w:val="auto"/>
        </w:rPr>
      </w:pPr>
    </w:p>
    <w:p w14:paraId="60009458">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.竞争性谈判文件的澄清和修改</w:t>
      </w:r>
    </w:p>
    <w:p w14:paraId="2CAA1376">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.1在响应截止时间前，采购单位无论出于何种原因，可以对竞争性谈判文件进行澄清或者修改；</w:t>
      </w:r>
    </w:p>
    <w:p w14:paraId="0771D9B1">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.2采购单位对已发出的竞争性谈判文件进行澄清或者修改，将在竞争性谈判文件要求的提交响应文件截止时间1日前进行，并以书面形式将澄清或者修改的内容通知所有购买了竞争性谈判文件的供应商；</w:t>
      </w:r>
    </w:p>
    <w:p w14:paraId="33156060">
      <w:pPr>
        <w:tabs>
          <w:tab w:val="left" w:pos="720"/>
        </w:tabs>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lang w:val="en-US" w:eastAsia="zh-CN"/>
        </w:rPr>
        <w:t>7.3</w:t>
      </w:r>
      <w:r>
        <w:rPr>
          <w:rFonts w:hint="eastAsia" w:ascii="仿宋" w:hAnsi="仿宋" w:eastAsia="仿宋" w:cs="仿宋"/>
          <w:color w:val="auto"/>
          <w:sz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14:paraId="3C5A0D16">
      <w:pPr>
        <w:spacing w:line="360" w:lineRule="auto"/>
        <w:ind w:firstLine="420"/>
        <w:rPr>
          <w:rFonts w:ascii="仿宋" w:hAnsi="仿宋" w:eastAsia="仿宋" w:cs="仿宋"/>
          <w:bCs/>
          <w:color w:val="auto"/>
          <w:sz w:val="24"/>
        </w:rPr>
      </w:pPr>
      <w:r>
        <w:rPr>
          <w:rFonts w:hint="eastAsia" w:ascii="仿宋" w:hAnsi="仿宋" w:eastAsia="仿宋" w:cs="仿宋"/>
          <w:bCs/>
          <w:color w:val="auto"/>
          <w:sz w:val="24"/>
          <w:lang w:val="en-US" w:eastAsia="zh-CN"/>
        </w:rPr>
        <w:t>7.4</w:t>
      </w:r>
      <w:r>
        <w:rPr>
          <w:rFonts w:hint="eastAsia" w:ascii="仿宋" w:hAnsi="仿宋" w:eastAsia="仿宋" w:cs="仿宋"/>
          <w:bCs/>
          <w:color w:val="auto"/>
          <w:sz w:val="24"/>
        </w:rPr>
        <w:t>任何对竞争性谈判文件的澄清均为竞争性谈判文件的组成部分，并具有同等的法律效力；</w:t>
      </w:r>
    </w:p>
    <w:p w14:paraId="2A50B0AF">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7.5</w:t>
      </w:r>
      <w:r>
        <w:rPr>
          <w:rFonts w:hint="eastAsia" w:ascii="仿宋" w:hAnsi="仿宋" w:eastAsia="仿宋" w:cs="仿宋"/>
          <w:bCs/>
          <w:color w:val="auto"/>
          <w:sz w:val="24"/>
        </w:rPr>
        <w:t>供应商要求采购单位对竞争性谈判文件进行澄清的，均应在递交响应文件截止时间1日前按竞争性谈判文件中的联系方式，以书面形式通知采购代理机构。</w:t>
      </w:r>
    </w:p>
    <w:p w14:paraId="45E1DB39">
      <w:pPr>
        <w:spacing w:line="360" w:lineRule="auto"/>
        <w:ind w:firstLine="482"/>
        <w:rPr>
          <w:rFonts w:hint="eastAsia" w:ascii="仿宋" w:hAnsi="仿宋" w:eastAsia="仿宋" w:cs="仿宋"/>
          <w:color w:val="auto"/>
        </w:rPr>
      </w:pPr>
    </w:p>
    <w:p w14:paraId="6403B74A">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答疑会和现场考察</w:t>
      </w:r>
    </w:p>
    <w:p w14:paraId="18BCB02C">
      <w:pPr>
        <w:widowControl/>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bCs/>
          <w:color w:val="auto"/>
          <w:sz w:val="24"/>
          <w:lang w:val="en-US" w:eastAsia="zh-CN"/>
        </w:rPr>
        <w:t>8.1</w:t>
      </w:r>
      <w:r>
        <w:rPr>
          <w:rFonts w:ascii="仿宋" w:hAnsi="仿宋" w:eastAsia="仿宋" w:cs="仿宋"/>
          <w:color w:val="auto"/>
          <w:kern w:val="0"/>
          <w:sz w:val="24"/>
        </w:rPr>
        <w:t>根据采购项目和具体情况，采购人、采购代理机构认为有必要，可以在</w:t>
      </w:r>
      <w:r>
        <w:rPr>
          <w:rFonts w:hint="eastAsia" w:ascii="仿宋" w:hAnsi="仿宋" w:eastAsia="仿宋" w:cs="仿宋"/>
          <w:color w:val="auto"/>
          <w:kern w:val="0"/>
          <w:sz w:val="24"/>
        </w:rPr>
        <w:t>谈判</w:t>
      </w:r>
      <w:r>
        <w:rPr>
          <w:rFonts w:ascii="仿宋" w:hAnsi="仿宋" w:eastAsia="仿宋" w:cs="仿宋"/>
          <w:color w:val="auto"/>
          <w:kern w:val="0"/>
          <w:sz w:val="24"/>
        </w:rPr>
        <w:t>文件提</w:t>
      </w:r>
      <w:r>
        <w:rPr>
          <w:rFonts w:hint="eastAsia" w:ascii="仿宋" w:hAnsi="仿宋" w:eastAsia="仿宋" w:cs="仿宋"/>
          <w:color w:val="auto"/>
          <w:kern w:val="0"/>
          <w:sz w:val="24"/>
        </w:rPr>
        <w:t>供期限截止后响应文件提交截止前，组织已获取谈判文件的潜在供应商现场考察或者召开答疑会。</w:t>
      </w:r>
    </w:p>
    <w:p w14:paraId="64C40FDC">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8.2</w:t>
      </w:r>
      <w:r>
        <w:rPr>
          <w:rFonts w:hint="eastAsia" w:ascii="仿宋" w:hAnsi="仿宋" w:eastAsia="仿宋" w:cs="仿宋"/>
          <w:color w:val="auto"/>
          <w:sz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110840F8">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8.3</w:t>
      </w:r>
      <w:r>
        <w:rPr>
          <w:rFonts w:hint="eastAsia" w:ascii="仿宋" w:hAnsi="仿宋" w:eastAsia="仿宋" w:cs="仿宋"/>
          <w:bCs/>
          <w:color w:val="auto"/>
          <w:sz w:val="24"/>
        </w:rPr>
        <w:t>供应商考察现场</w:t>
      </w:r>
      <w:r>
        <w:rPr>
          <w:rFonts w:hint="eastAsia" w:ascii="仿宋" w:hAnsi="仿宋" w:eastAsia="仿宋" w:cs="仿宋"/>
          <w:color w:val="auto"/>
          <w:sz w:val="24"/>
        </w:rPr>
        <w:t>或者参加答疑会</w:t>
      </w:r>
      <w:r>
        <w:rPr>
          <w:rFonts w:hint="eastAsia" w:ascii="仿宋" w:hAnsi="仿宋" w:eastAsia="仿宋" w:cs="仿宋"/>
          <w:bCs/>
          <w:color w:val="auto"/>
          <w:sz w:val="24"/>
        </w:rPr>
        <w:t>所发生的一切费用由供应商自己承担。</w:t>
      </w:r>
    </w:p>
    <w:p w14:paraId="11749355">
      <w:pPr>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color w:val="auto"/>
          <w:sz w:val="24"/>
          <w:lang w:val="en-US" w:eastAsia="zh-CN"/>
        </w:rPr>
        <w:t>8.4</w:t>
      </w:r>
      <w:r>
        <w:rPr>
          <w:rFonts w:hint="eastAsia" w:ascii="仿宋" w:hAnsi="仿宋" w:eastAsia="仿宋" w:cs="仿宋"/>
          <w:color w:val="auto"/>
          <w:sz w:val="24"/>
        </w:rPr>
        <w:t>本项目不组织现场考察和召开答疑会。</w:t>
      </w:r>
      <w:r>
        <w:rPr>
          <w:rFonts w:hint="eastAsia" w:ascii="仿宋" w:hAnsi="仿宋" w:eastAsia="仿宋" w:cs="仿宋"/>
          <w:bCs/>
          <w:color w:val="auto"/>
          <w:sz w:val="24"/>
        </w:rPr>
        <w:t>供应商认为有必要，可自行前往项目地点进行现场考察。</w:t>
      </w:r>
    </w:p>
    <w:p w14:paraId="029D953D">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bCs/>
          <w:color w:val="auto"/>
          <w:sz w:val="24"/>
        </w:rPr>
      </w:pPr>
      <w:r>
        <w:rPr>
          <w:rFonts w:hint="eastAsia" w:ascii="仿宋" w:hAnsi="仿宋" w:eastAsia="仿宋" w:cs="仿宋"/>
          <w:b/>
          <w:color w:val="auto"/>
          <w:sz w:val="30"/>
          <w:szCs w:val="30"/>
        </w:rPr>
        <w:t>四、响应文件</w:t>
      </w:r>
    </w:p>
    <w:p w14:paraId="5F5268E0">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响应文件须知</w:t>
      </w:r>
    </w:p>
    <w:p w14:paraId="45663944">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9.1</w:t>
      </w:r>
      <w:r>
        <w:rPr>
          <w:rFonts w:hint="eastAsia" w:ascii="仿宋" w:hAnsi="仿宋" w:eastAsia="仿宋" w:cs="仿宋"/>
          <w:b/>
          <w:bCs/>
          <w:color w:val="auto"/>
          <w:sz w:val="24"/>
        </w:rPr>
        <w:t>响应文件的语言（实质性要求）</w:t>
      </w:r>
    </w:p>
    <w:p w14:paraId="7671DB45">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14:paraId="020F1C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2翻译的中文资料与外文资料如果出现差异和矛盾时，以中文为准。涉嫌虚假响应的按照相关法律法规处理。</w:t>
      </w:r>
    </w:p>
    <w:p w14:paraId="29455728">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3 如因未翻译而造成的响应文件无效风险，由供应商承担。</w:t>
      </w:r>
    </w:p>
    <w:p w14:paraId="36B6B7F2">
      <w:pPr>
        <w:pStyle w:val="2"/>
        <w:spacing w:line="360" w:lineRule="auto"/>
        <w:ind w:firstLine="480"/>
        <w:rPr>
          <w:rFonts w:hint="eastAsia" w:ascii="仿宋" w:hAnsi="仿宋" w:eastAsia="仿宋" w:cs="仿宋"/>
          <w:color w:val="auto"/>
        </w:rPr>
      </w:pPr>
    </w:p>
    <w:p w14:paraId="08539E03">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9.2</w:t>
      </w:r>
      <w:r>
        <w:rPr>
          <w:rFonts w:hint="eastAsia" w:ascii="仿宋" w:hAnsi="仿宋" w:eastAsia="仿宋" w:cs="仿宋"/>
          <w:b/>
          <w:bCs/>
          <w:color w:val="auto"/>
          <w:sz w:val="24"/>
        </w:rPr>
        <w:t>计量单位（实质性要求）</w:t>
      </w:r>
    </w:p>
    <w:p w14:paraId="6988F874">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除在</w:t>
      </w:r>
      <w:r>
        <w:rPr>
          <w:rFonts w:hint="eastAsia" w:ascii="仿宋" w:hAnsi="仿宋" w:eastAsia="仿宋" w:cs="仿宋"/>
          <w:bCs/>
          <w:color w:val="auto"/>
          <w:sz w:val="24"/>
        </w:rPr>
        <w:t>谈判</w:t>
      </w:r>
      <w:r>
        <w:rPr>
          <w:rFonts w:hint="eastAsia" w:ascii="仿宋" w:hAnsi="仿宋" w:eastAsia="仿宋" w:cs="仿宋"/>
          <w:color w:val="auto"/>
          <w:sz w:val="24"/>
        </w:rPr>
        <w:t>文件的技术规格中另有规定外，</w:t>
      </w:r>
      <w:r>
        <w:rPr>
          <w:rFonts w:hint="eastAsia" w:ascii="仿宋" w:hAnsi="仿宋" w:eastAsia="仿宋" w:cs="仿宋"/>
          <w:bCs/>
          <w:color w:val="auto"/>
          <w:sz w:val="24"/>
        </w:rPr>
        <w:t>本次采购项目所有合同项下的响应均采用</w:t>
      </w:r>
      <w:r>
        <w:rPr>
          <w:rFonts w:hint="eastAsia" w:ascii="仿宋" w:hAnsi="仿宋" w:eastAsia="仿宋" w:cs="仿宋"/>
          <w:color w:val="auto"/>
          <w:sz w:val="24"/>
        </w:rPr>
        <w:t>中华人民共和国法定计量单位。</w:t>
      </w:r>
    </w:p>
    <w:p w14:paraId="66E0F776">
      <w:pPr>
        <w:widowControl/>
        <w:spacing w:line="360" w:lineRule="auto"/>
        <w:ind w:firstLine="480"/>
        <w:jc w:val="left"/>
        <w:rPr>
          <w:rFonts w:hint="eastAsia" w:ascii="仿宋" w:hAnsi="仿宋" w:eastAsia="仿宋" w:cs="仿宋"/>
          <w:b/>
          <w:bCs/>
          <w:color w:val="auto"/>
          <w:sz w:val="24"/>
        </w:rPr>
      </w:pPr>
    </w:p>
    <w:p w14:paraId="08A05CA1">
      <w:pPr>
        <w:widowControl/>
        <w:spacing w:line="360" w:lineRule="auto"/>
        <w:ind w:firstLine="480"/>
        <w:jc w:val="left"/>
        <w:rPr>
          <w:rFonts w:ascii="仿宋" w:hAnsi="仿宋" w:eastAsia="仿宋" w:cs="仿宋"/>
          <w:color w:val="auto"/>
          <w:sz w:val="24"/>
        </w:rPr>
      </w:pPr>
      <w:r>
        <w:rPr>
          <w:rFonts w:hint="eastAsia" w:ascii="仿宋" w:hAnsi="仿宋" w:eastAsia="仿宋" w:cs="仿宋"/>
          <w:b/>
          <w:bCs/>
          <w:color w:val="auto"/>
          <w:sz w:val="24"/>
          <w:lang w:val="en-US" w:eastAsia="zh-CN"/>
        </w:rPr>
        <w:t>9.3</w:t>
      </w:r>
      <w:r>
        <w:rPr>
          <w:rFonts w:hint="eastAsia" w:ascii="仿宋" w:hAnsi="仿宋" w:eastAsia="仿宋" w:cs="仿宋"/>
          <w:b/>
          <w:bCs/>
          <w:color w:val="auto"/>
          <w:sz w:val="24"/>
        </w:rPr>
        <w:t>响应货币（实质性要求）</w:t>
      </w:r>
    </w:p>
    <w:p w14:paraId="4CBACF61">
      <w:pPr>
        <w:widowControl/>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本次采购项目的响应计价货币均以人民币报价。</w:t>
      </w:r>
    </w:p>
    <w:p w14:paraId="3233A4F9">
      <w:pPr>
        <w:widowControl/>
        <w:spacing w:line="360" w:lineRule="auto"/>
        <w:jc w:val="left"/>
        <w:rPr>
          <w:rFonts w:hint="eastAsia" w:ascii="仿宋" w:hAnsi="仿宋" w:eastAsia="仿宋" w:cs="仿宋"/>
          <w:color w:val="auto"/>
          <w:sz w:val="24"/>
        </w:rPr>
      </w:pPr>
    </w:p>
    <w:p w14:paraId="6A811878">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lang w:val="en-US" w:eastAsia="zh-CN"/>
        </w:rPr>
        <w:t>9.4</w:t>
      </w:r>
      <w:r>
        <w:rPr>
          <w:rFonts w:hint="eastAsia" w:ascii="仿宋" w:hAnsi="仿宋" w:eastAsia="仿宋" w:cs="仿宋"/>
          <w:b/>
          <w:bCs/>
          <w:color w:val="auto"/>
          <w:sz w:val="24"/>
        </w:rPr>
        <w:t>知识产权（实质性要求）</w:t>
      </w:r>
    </w:p>
    <w:p w14:paraId="24C2D5CD">
      <w:pPr>
        <w:widowControl/>
        <w:spacing w:line="360" w:lineRule="auto"/>
        <w:ind w:firstLine="48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7D802382">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.2除非谈判文件特别规定，采购人享有本项目实施过程中产生的知识成果及知识产权。</w:t>
      </w:r>
    </w:p>
    <w:p w14:paraId="39C09476">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377BAE88">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.4如采用供应商所不拥有的知识产权，则在响应报价中必须包括合法获取该知识产权的相关费用。</w:t>
      </w:r>
    </w:p>
    <w:p w14:paraId="31BC5C83">
      <w:pPr>
        <w:widowControl/>
        <w:spacing w:line="360" w:lineRule="auto"/>
        <w:ind w:firstLine="480"/>
        <w:jc w:val="both"/>
        <w:rPr>
          <w:rFonts w:hint="eastAsia" w:ascii="仿宋" w:hAnsi="仿宋" w:eastAsia="仿宋" w:cs="仿宋"/>
          <w:color w:val="auto"/>
        </w:rPr>
      </w:pPr>
    </w:p>
    <w:p w14:paraId="42D69EA0">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9.5</w:t>
      </w:r>
      <w:r>
        <w:rPr>
          <w:rFonts w:hint="eastAsia" w:ascii="仿宋" w:hAnsi="仿宋" w:eastAsia="仿宋" w:cs="仿宋"/>
          <w:b/>
          <w:color w:val="auto"/>
          <w:sz w:val="24"/>
        </w:rPr>
        <w:t>响应有效期</w:t>
      </w:r>
      <w:r>
        <w:rPr>
          <w:rFonts w:hint="eastAsia" w:ascii="仿宋" w:hAnsi="仿宋" w:eastAsia="仿宋" w:cs="仿宋"/>
          <w:b/>
          <w:bCs/>
          <w:color w:val="auto"/>
          <w:sz w:val="24"/>
        </w:rPr>
        <w:t>（实质性要求）</w:t>
      </w:r>
    </w:p>
    <w:p w14:paraId="32F3E758">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.1本项目响应有效期为递交响应文件截止之日起满</w:t>
      </w:r>
      <w:r>
        <w:rPr>
          <w:rFonts w:hint="eastAsia" w:ascii="仿宋" w:hAnsi="仿宋" w:eastAsia="仿宋" w:cs="仿宋"/>
          <w:b/>
          <w:bCs w:val="0"/>
          <w:color w:val="auto"/>
          <w:sz w:val="24"/>
        </w:rPr>
        <w:t>90</w:t>
      </w:r>
      <w:r>
        <w:rPr>
          <w:rFonts w:hint="eastAsia" w:ascii="仿宋" w:hAnsi="仿宋" w:eastAsia="仿宋" w:cs="仿宋"/>
          <w:bCs/>
          <w:color w:val="auto"/>
          <w:sz w:val="24"/>
        </w:rPr>
        <w:t>天。供应商响应文件中必须载明响应有效期，响应文件中载明的响应有效期可以长于竞争性谈判文件规定的期限，但不得短于竞争性谈判文件规定的期限。否则，其响应文件将作为无效响应处理。</w:t>
      </w:r>
    </w:p>
    <w:p w14:paraId="338C8371">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14:paraId="7797D955">
      <w:pPr>
        <w:widowControl/>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14:paraId="53D368A6">
      <w:pPr>
        <w:widowControl/>
        <w:spacing w:line="360" w:lineRule="auto"/>
        <w:ind w:firstLine="420" w:firstLineChars="200"/>
        <w:jc w:val="both"/>
        <w:rPr>
          <w:rFonts w:hint="eastAsia" w:ascii="仿宋" w:hAnsi="仿宋" w:eastAsia="仿宋" w:cs="仿宋"/>
          <w:color w:val="auto"/>
        </w:rPr>
      </w:pPr>
    </w:p>
    <w:p w14:paraId="31993580">
      <w:pPr>
        <w:widowControl/>
        <w:numPr>
          <w:ilvl w:val="-1"/>
          <w:numId w:val="0"/>
        </w:numPr>
        <w:spacing w:line="360" w:lineRule="auto"/>
        <w:ind w:firstLine="482" w:firstLineChars="200"/>
        <w:rPr>
          <w:rFonts w:hint="eastAsia" w:ascii="仿宋" w:hAnsi="仿宋" w:eastAsia="仿宋" w:cs="仿宋"/>
          <w:color w:val="auto"/>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 xml:space="preserve">响应文件的组成 </w:t>
      </w:r>
    </w:p>
    <w:p w14:paraId="2CABBA87">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参加谈判的供应商按照竞争性谈判文件的要求准备响应文件，响应文件分为资格性响应文件、其他响应文件、报价响应文件和响应文件电子文档四部分。</w:t>
      </w:r>
    </w:p>
    <w:p w14:paraId="4F70ED02">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注：以下有格式表的按格式表要求提供，无格式表的格式自拟。</w:t>
      </w:r>
    </w:p>
    <w:p w14:paraId="5CB61AE8">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10.1</w:t>
      </w:r>
      <w:r>
        <w:rPr>
          <w:rFonts w:hint="eastAsia" w:ascii="仿宋" w:hAnsi="仿宋" w:eastAsia="仿宋" w:cs="仿宋"/>
          <w:b/>
          <w:color w:val="auto"/>
          <w:sz w:val="24"/>
        </w:rPr>
        <w:t>资格性响应文件</w:t>
      </w:r>
    </w:p>
    <w:p w14:paraId="547FA536">
      <w:pPr>
        <w:spacing w:line="360" w:lineRule="auto"/>
        <w:ind w:firstLine="480"/>
        <w:rPr>
          <w:rFonts w:ascii="仿宋" w:hAnsi="仿宋" w:eastAsia="仿宋" w:cs="仿宋"/>
          <w:bCs/>
          <w:color w:val="auto"/>
          <w:sz w:val="24"/>
        </w:rPr>
      </w:pPr>
      <w:r>
        <w:rPr>
          <w:rFonts w:hint="eastAsia" w:ascii="仿宋" w:hAnsi="仿宋" w:eastAsia="仿宋" w:cs="仿宋"/>
          <w:bCs/>
          <w:color w:val="auto"/>
          <w:sz w:val="24"/>
          <w:lang w:eastAsia="zh-CN"/>
        </w:rPr>
        <w:t>资格证明文件（详见第四章）。</w:t>
      </w:r>
      <w:r>
        <w:rPr>
          <w:rFonts w:hint="eastAsia" w:ascii="仿宋" w:hAnsi="仿宋" w:eastAsia="仿宋" w:cs="仿宋"/>
          <w:b/>
          <w:bCs w:val="0"/>
          <w:color w:val="auto"/>
          <w:sz w:val="24"/>
          <w:lang w:eastAsia="zh-CN"/>
        </w:rPr>
        <w:t>(实质性要求）</w:t>
      </w:r>
    </w:p>
    <w:p w14:paraId="24668EAF">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10.2</w:t>
      </w:r>
      <w:r>
        <w:rPr>
          <w:rFonts w:hint="eastAsia" w:ascii="仿宋" w:hAnsi="仿宋" w:eastAsia="仿宋" w:cs="仿宋"/>
          <w:b/>
          <w:color w:val="auto"/>
          <w:sz w:val="24"/>
        </w:rPr>
        <w:t>其他响应文件</w:t>
      </w:r>
    </w:p>
    <w:p w14:paraId="73E865FB">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10.2.1</w:t>
      </w:r>
      <w:r>
        <w:rPr>
          <w:rFonts w:hint="eastAsia" w:ascii="仿宋" w:hAnsi="仿宋" w:eastAsia="仿宋" w:cs="仿宋"/>
          <w:bCs/>
          <w:color w:val="auto"/>
          <w:sz w:val="24"/>
        </w:rPr>
        <w:t>技术服务性响应部分</w:t>
      </w:r>
    </w:p>
    <w:p w14:paraId="54664C89">
      <w:pPr>
        <w:widowControl/>
        <w:spacing w:line="360" w:lineRule="auto"/>
        <w:ind w:firstLine="480"/>
        <w:jc w:val="both"/>
        <w:rPr>
          <w:rFonts w:hint="eastAsia" w:ascii="仿宋" w:hAnsi="仿宋" w:eastAsia="仿宋" w:cs="仿宋"/>
          <w:bCs/>
          <w:color w:val="auto"/>
          <w:sz w:val="24"/>
          <w:lang w:eastAsia="zh-CN"/>
        </w:rPr>
      </w:pPr>
      <w:r>
        <w:rPr>
          <w:rFonts w:hint="eastAsia" w:ascii="仿宋" w:hAnsi="仿宋" w:eastAsia="仿宋" w:cs="仿宋"/>
          <w:bCs/>
          <w:color w:val="auto"/>
          <w:sz w:val="24"/>
        </w:rPr>
        <w:t>供应商按照</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文件要求做出的技术应答，主要是针对</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项目的技术指标、</w:t>
      </w:r>
      <w:r>
        <w:rPr>
          <w:rFonts w:hint="eastAsia" w:ascii="仿宋" w:hAnsi="仿宋" w:eastAsia="仿宋" w:cs="仿宋"/>
          <w:bCs/>
          <w:color w:val="auto"/>
          <w:sz w:val="24"/>
          <w:lang w:eastAsia="zh-CN"/>
        </w:rPr>
        <w:t>参数、质量保证和服务要求做出的实质性响应和满足。供应商的技术服务响应包括但不限于下列内容：</w:t>
      </w:r>
    </w:p>
    <w:p w14:paraId="2FD8C044">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1</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提供所投产品的品牌、型号、配置，以及所投产品本身的主要技术指标和参数相关证明材料(如提供监测报告或产品使用说明书或用户手册等材料)；</w:t>
      </w:r>
    </w:p>
    <w:p w14:paraId="31A9B2B1">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2</w:t>
      </w:r>
      <w:r>
        <w:rPr>
          <w:rFonts w:hint="eastAsia" w:ascii="仿宋" w:hAnsi="仿宋" w:eastAsia="仿宋" w:cs="仿宋"/>
          <w:bCs w:val="0"/>
          <w:color w:val="000000"/>
          <w:sz w:val="24"/>
          <w:highlight w:val="none"/>
          <w:lang w:eastAsia="zh-CN"/>
        </w:rPr>
        <w:t>）技术服务偏离表；</w:t>
      </w:r>
    </w:p>
    <w:p w14:paraId="46F847C0">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3</w:t>
      </w:r>
      <w:r>
        <w:rPr>
          <w:rFonts w:hint="eastAsia" w:ascii="仿宋" w:hAnsi="仿宋" w:eastAsia="仿宋" w:cs="仿宋"/>
          <w:bCs w:val="0"/>
          <w:color w:val="000000"/>
          <w:sz w:val="24"/>
          <w:highlight w:val="none"/>
          <w:lang w:eastAsia="zh-CN"/>
        </w:rPr>
        <w:t>）商务服务应答表</w:t>
      </w:r>
      <w:r>
        <w:rPr>
          <w:rFonts w:hint="eastAsia" w:ascii="仿宋" w:hAnsi="仿宋" w:eastAsia="仿宋" w:cs="仿宋"/>
          <w:bCs w:val="0"/>
          <w:color w:val="000000"/>
          <w:sz w:val="24"/>
          <w:highlight w:val="none"/>
        </w:rPr>
        <w:t>；</w:t>
      </w:r>
    </w:p>
    <w:p w14:paraId="7E1B1A55">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4</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拟派入本项目的主要实施人员情况表；</w:t>
      </w:r>
    </w:p>
    <w:p w14:paraId="6D1BF8E1">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项目实施及售后服务方案；</w:t>
      </w:r>
    </w:p>
    <w:p w14:paraId="249C83DC">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6</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售后服务相关资料</w:t>
      </w:r>
      <w:r>
        <w:rPr>
          <w:rFonts w:hint="eastAsia" w:ascii="仿宋" w:hAnsi="仿宋" w:eastAsia="仿宋" w:cs="仿宋"/>
          <w:bCs w:val="0"/>
          <w:color w:val="000000"/>
          <w:sz w:val="24"/>
          <w:highlight w:val="none"/>
          <w:lang w:eastAsia="zh-CN"/>
        </w:rPr>
        <w:t>；</w:t>
      </w:r>
    </w:p>
    <w:p w14:paraId="5E6C882C">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7</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项目验收标准和验收方法</w:t>
      </w:r>
      <w:r>
        <w:rPr>
          <w:rFonts w:hint="eastAsia" w:ascii="仿宋" w:hAnsi="仿宋" w:eastAsia="仿宋" w:cs="仿宋"/>
          <w:bCs w:val="0"/>
          <w:color w:val="000000"/>
          <w:sz w:val="24"/>
          <w:highlight w:val="none"/>
          <w:lang w:eastAsia="zh-CN"/>
        </w:rPr>
        <w:t>；</w:t>
      </w:r>
    </w:p>
    <w:p w14:paraId="02A915E1">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color w:val="000000"/>
          <w:sz w:val="24"/>
          <w:highlight w:val="none"/>
        </w:rPr>
      </w:pPr>
      <w:r>
        <w:rPr>
          <w:rFonts w:hint="eastAsia" w:ascii="仿宋" w:hAnsi="仿宋" w:eastAsia="仿宋" w:cs="仿宋"/>
          <w:b w:val="0"/>
          <w:bCs/>
          <w:color w:val="000000"/>
          <w:sz w:val="24"/>
          <w:highlight w:val="none"/>
          <w:lang w:val="en-US" w:eastAsia="zh-CN"/>
        </w:rPr>
        <w:t>（8）其他有利于采购人或者供应商认为需要提供的文件和资料。</w:t>
      </w:r>
    </w:p>
    <w:p w14:paraId="238AFF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10.2.2</w:t>
      </w:r>
      <w:r>
        <w:rPr>
          <w:rFonts w:hint="eastAsia" w:ascii="仿宋" w:hAnsi="仿宋" w:eastAsia="仿宋" w:cs="仿宋"/>
          <w:b w:val="0"/>
          <w:bCs/>
          <w:color w:val="000000"/>
          <w:sz w:val="24"/>
          <w:highlight w:val="none"/>
        </w:rPr>
        <w:t xml:space="preserve"> </w:t>
      </w:r>
      <w:r>
        <w:rPr>
          <w:rFonts w:hint="eastAsia" w:ascii="仿宋" w:hAnsi="仿宋" w:eastAsia="仿宋" w:cs="仿宋"/>
          <w:b w:val="0"/>
          <w:bCs/>
          <w:color w:val="000000"/>
          <w:sz w:val="24"/>
          <w:highlight w:val="none"/>
          <w:lang w:eastAsia="zh-CN"/>
        </w:rPr>
        <w:t>其他要求部分</w:t>
      </w:r>
    </w:p>
    <w:p w14:paraId="1C9450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（1）供应商简介；</w:t>
      </w:r>
    </w:p>
    <w:p w14:paraId="3E7A4A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（2）供应商基本情况表；</w:t>
      </w:r>
    </w:p>
    <w:p w14:paraId="332F6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（3）</w:t>
      </w:r>
      <w:r>
        <w:rPr>
          <w:rFonts w:hint="eastAsia" w:ascii="仿宋" w:hAnsi="仿宋" w:eastAsia="仿宋" w:cs="仿宋"/>
          <w:bCs/>
          <w:color w:val="auto"/>
          <w:sz w:val="24"/>
          <w:lang w:eastAsia="zh-CN"/>
        </w:rPr>
        <w:t>首轮报价一览表；</w:t>
      </w:r>
      <w:r>
        <w:rPr>
          <w:rFonts w:hint="eastAsia" w:ascii="仿宋" w:hAnsi="仿宋" w:eastAsia="仿宋" w:cs="仿宋"/>
          <w:b/>
          <w:color w:val="auto"/>
          <w:sz w:val="24"/>
        </w:rPr>
        <w:t>(实质性要求）</w:t>
      </w:r>
    </w:p>
    <w:p w14:paraId="4008AB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（4）承诺函；</w:t>
      </w:r>
      <w:r>
        <w:rPr>
          <w:rFonts w:hint="eastAsia" w:ascii="仿宋" w:hAnsi="仿宋" w:eastAsia="仿宋" w:cs="仿宋"/>
          <w:b/>
          <w:bCs w:val="0"/>
          <w:color w:val="000000"/>
          <w:sz w:val="24"/>
          <w:highlight w:val="none"/>
        </w:rPr>
        <w:t>(实质性要求）</w:t>
      </w:r>
    </w:p>
    <w:p w14:paraId="280CDC72">
      <w:pPr>
        <w:spacing w:line="360" w:lineRule="auto"/>
        <w:ind w:firstLine="480" w:firstLineChars="200"/>
        <w:outlineLvl w:val="9"/>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其他有利于</w:t>
      </w:r>
      <w:r>
        <w:rPr>
          <w:rFonts w:hint="eastAsia" w:ascii="仿宋" w:hAnsi="仿宋" w:eastAsia="仿宋" w:cs="仿宋"/>
          <w:bCs w:val="0"/>
          <w:color w:val="000000"/>
          <w:sz w:val="24"/>
          <w:highlight w:val="none"/>
          <w:lang w:eastAsia="zh-CN"/>
        </w:rPr>
        <w:t>供应商</w:t>
      </w:r>
      <w:r>
        <w:rPr>
          <w:rFonts w:hint="eastAsia" w:ascii="仿宋" w:hAnsi="仿宋" w:eastAsia="仿宋" w:cs="仿宋"/>
          <w:bCs w:val="0"/>
          <w:color w:val="000000"/>
          <w:sz w:val="24"/>
          <w:highlight w:val="none"/>
        </w:rPr>
        <w:t>的服务承诺等</w:t>
      </w:r>
      <w:r>
        <w:rPr>
          <w:rFonts w:hint="eastAsia" w:ascii="仿宋" w:hAnsi="仿宋" w:eastAsia="仿宋" w:cs="仿宋"/>
          <w:bCs w:val="0"/>
          <w:color w:val="000000"/>
          <w:sz w:val="24"/>
          <w:highlight w:val="none"/>
          <w:lang w:eastAsia="zh-CN"/>
        </w:rPr>
        <w:t>。</w:t>
      </w:r>
    </w:p>
    <w:p w14:paraId="765FDC6B">
      <w:pPr>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val="0"/>
          <w:color w:val="auto"/>
          <w:sz w:val="24"/>
          <w:lang w:val="en-US" w:eastAsia="zh-CN"/>
        </w:rPr>
        <w:t>10.3</w:t>
      </w:r>
      <w:r>
        <w:rPr>
          <w:rFonts w:hint="eastAsia" w:ascii="仿宋" w:hAnsi="仿宋" w:eastAsia="仿宋" w:cs="仿宋"/>
          <w:b/>
          <w:color w:val="auto"/>
          <w:sz w:val="24"/>
        </w:rPr>
        <w:t>报价</w:t>
      </w:r>
      <w:r>
        <w:rPr>
          <w:rFonts w:hint="eastAsia" w:ascii="仿宋" w:hAnsi="仿宋" w:eastAsia="仿宋" w:cs="仿宋"/>
          <w:b/>
          <w:bCs/>
          <w:color w:val="auto"/>
          <w:sz w:val="24"/>
        </w:rPr>
        <w:t>响应文件</w:t>
      </w:r>
    </w:p>
    <w:p w14:paraId="54E71B59">
      <w:pPr>
        <w:pStyle w:val="116"/>
        <w:spacing w:line="360" w:lineRule="auto"/>
        <w:ind w:firstLine="480" w:firstLineChars="200"/>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10.3.1</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1份以上，</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填写多轮</w:t>
      </w:r>
      <w:r>
        <w:rPr>
          <w:rFonts w:hint="eastAsia" w:ascii="仿宋" w:hAnsi="仿宋" w:eastAsia="仿宋" w:cs="仿宋"/>
          <w:bCs/>
          <w:color w:val="auto"/>
          <w:sz w:val="24"/>
          <w:szCs w:val="22"/>
        </w:rPr>
        <w:t>报价使用。</w:t>
      </w:r>
    </w:p>
    <w:p w14:paraId="694BC747">
      <w:pPr>
        <w:pStyle w:val="116"/>
        <w:spacing w:line="360" w:lineRule="auto"/>
        <w:ind w:firstLine="480" w:firstLineChars="200"/>
        <w:outlineLvl w:val="9"/>
        <w:rPr>
          <w:rFonts w:hint="eastAsia" w:ascii="仿宋" w:hAnsi="仿宋" w:eastAsia="仿宋" w:cs="仿宋"/>
          <w:color w:val="auto"/>
        </w:rPr>
      </w:pPr>
      <w:r>
        <w:rPr>
          <w:rFonts w:hint="eastAsia" w:ascii="仿宋" w:hAnsi="仿宋" w:eastAsia="仿宋" w:cs="仿宋"/>
          <w:color w:val="auto"/>
          <w:sz w:val="24"/>
          <w:lang w:val="en-US" w:eastAsia="zh-CN"/>
        </w:rPr>
        <w:t>谈判结束后，谈判小组要求供应商进行多轮报价时，由</w:t>
      </w:r>
      <w:r>
        <w:rPr>
          <w:rFonts w:hint="eastAsia" w:ascii="仿宋" w:hAnsi="仿宋" w:eastAsia="仿宋" w:cs="仿宋"/>
          <w:color w:val="auto"/>
          <w:sz w:val="24"/>
          <w:szCs w:val="24"/>
        </w:rPr>
        <w:t>供应商填写“</w:t>
      </w:r>
      <w:r>
        <w:rPr>
          <w:rFonts w:hint="eastAsia" w:ascii="仿宋" w:hAnsi="仿宋" w:eastAsia="仿宋" w:cs="仿宋"/>
          <w:color w:val="auto"/>
          <w:sz w:val="24"/>
          <w:szCs w:val="24"/>
          <w:lang w:eastAsia="zh-CN"/>
        </w:rPr>
        <w:t>多轮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14:paraId="21031EFD">
      <w:pPr>
        <w:pStyle w:val="116"/>
        <w:spacing w:line="360" w:lineRule="auto"/>
        <w:ind w:firstLine="480" w:firstLineChars="200"/>
        <w:outlineLvl w:val="9"/>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10.3.2</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w:t>
      </w:r>
      <w:r>
        <w:rPr>
          <w:rFonts w:hint="eastAsia" w:ascii="仿宋" w:hAnsi="仿宋" w:eastAsia="仿宋" w:cs="仿宋"/>
          <w:bCs/>
          <w:color w:val="auto"/>
          <w:sz w:val="24"/>
          <w:szCs w:val="22"/>
        </w:rPr>
        <w:t>最</w:t>
      </w:r>
      <w:r>
        <w:rPr>
          <w:rFonts w:hint="eastAsia" w:ascii="仿宋" w:hAnsi="仿宋" w:eastAsia="仿宋" w:cs="仿宋"/>
          <w:bCs/>
          <w:color w:val="auto"/>
          <w:sz w:val="24"/>
          <w:szCs w:val="22"/>
          <w:lang w:eastAsia="zh-CN"/>
        </w:rPr>
        <w:t>后</w:t>
      </w:r>
      <w:r>
        <w:rPr>
          <w:rFonts w:hint="eastAsia" w:ascii="仿宋" w:hAnsi="仿宋" w:eastAsia="仿宋" w:cs="仿宋"/>
          <w:bCs/>
          <w:color w:val="auto"/>
          <w:sz w:val="24"/>
          <w:szCs w:val="22"/>
        </w:rPr>
        <w:t>报价使用</w:t>
      </w:r>
      <w:r>
        <w:rPr>
          <w:rFonts w:hint="eastAsia" w:ascii="仿宋" w:hAnsi="仿宋" w:eastAsia="仿宋" w:cs="仿宋"/>
          <w:bCs/>
          <w:color w:val="auto"/>
          <w:sz w:val="24"/>
          <w:szCs w:val="22"/>
          <w:lang w:eastAsia="zh-CN"/>
        </w:rPr>
        <w:t>。</w:t>
      </w:r>
    </w:p>
    <w:p w14:paraId="55D8053A">
      <w:pPr>
        <w:pStyle w:val="116"/>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谈判小组要求</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进行最后报价时</w:t>
      </w:r>
      <w:r>
        <w:rPr>
          <w:rFonts w:hint="eastAsia" w:ascii="仿宋" w:hAnsi="仿宋" w:eastAsia="仿宋" w:cs="仿宋"/>
          <w:color w:val="auto"/>
          <w:sz w:val="24"/>
          <w:szCs w:val="24"/>
        </w:rPr>
        <w:t>，由供应商填写“</w:t>
      </w:r>
      <w:r>
        <w:rPr>
          <w:rFonts w:hint="eastAsia" w:ascii="仿宋" w:hAnsi="仿宋" w:eastAsia="仿宋" w:cs="仿宋"/>
          <w:color w:val="auto"/>
          <w:sz w:val="24"/>
          <w:szCs w:val="24"/>
          <w:lang w:eastAsia="zh-CN"/>
        </w:rPr>
        <w:t>最后报价一览表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14:paraId="3F505865">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本项目报价要求</w:t>
      </w:r>
      <w:r>
        <w:rPr>
          <w:rFonts w:hint="eastAsia" w:ascii="仿宋" w:hAnsi="仿宋" w:eastAsia="仿宋" w:cs="仿宋"/>
          <w:b/>
          <w:color w:val="auto"/>
          <w:sz w:val="24"/>
          <w:highlight w:val="none"/>
        </w:rPr>
        <w:t>（实质性要求）</w:t>
      </w:r>
    </w:p>
    <w:p w14:paraId="707FC762">
      <w:pPr>
        <w:widowControl/>
        <w:spacing w:line="360" w:lineRule="auto"/>
        <w:ind w:firstLine="480"/>
        <w:jc w:val="both"/>
        <w:rPr>
          <w:rFonts w:hint="eastAsia" w:ascii="仿宋" w:hAnsi="仿宋" w:eastAsia="仿宋" w:cs="仿宋"/>
          <w:color w:val="auto"/>
          <w:sz w:val="24"/>
          <w:highlight w:val="none"/>
        </w:rPr>
      </w:pPr>
      <w:r>
        <w:rPr>
          <w:rFonts w:hint="eastAsia" w:ascii="仿宋" w:hAnsi="仿宋" w:eastAsia="仿宋" w:cs="仿宋"/>
          <w:color w:val="000000"/>
          <w:sz w:val="24"/>
          <w:highlight w:val="none"/>
        </w:rPr>
        <w:t>①</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bCs/>
          <w:color w:val="auto"/>
          <w:sz w:val="24"/>
          <w:highlight w:val="none"/>
        </w:rPr>
        <w:t>供</w:t>
      </w:r>
      <w:r>
        <w:rPr>
          <w:rFonts w:hint="eastAsia" w:ascii="仿宋" w:hAnsi="仿宋" w:eastAsia="仿宋" w:cs="仿宋"/>
          <w:color w:val="auto"/>
          <w:sz w:val="24"/>
          <w:highlight w:val="none"/>
        </w:rPr>
        <w:t>应商的报价是供应商响应本项目要求的全部工作内容的价格体现，包括供应商完成本项目所需的一切费用。</w:t>
      </w:r>
    </w:p>
    <w:p w14:paraId="67EE6321">
      <w:pPr>
        <w:widowControl/>
        <w:spacing w:line="360" w:lineRule="auto"/>
        <w:ind w:firstLine="48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②</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auto"/>
          <w:sz w:val="24"/>
          <w:highlight w:val="none"/>
        </w:rPr>
        <w:t>供应商最</w:t>
      </w:r>
      <w:r>
        <w:rPr>
          <w:rFonts w:hint="eastAsia" w:ascii="仿宋" w:hAnsi="仿宋" w:eastAsia="仿宋" w:cs="仿宋"/>
          <w:color w:val="auto"/>
          <w:sz w:val="24"/>
          <w:highlight w:val="none"/>
          <w:lang w:eastAsia="zh-CN"/>
        </w:rPr>
        <w:t>后</w:t>
      </w:r>
      <w:r>
        <w:rPr>
          <w:rFonts w:hint="eastAsia" w:ascii="仿宋" w:hAnsi="仿宋" w:eastAsia="仿宋" w:cs="仿宋"/>
          <w:color w:val="auto"/>
          <w:sz w:val="24"/>
          <w:highlight w:val="none"/>
        </w:rPr>
        <w:t>报价只允许有一个报价，并且在合同履行过程中是固定不变的，任何有选择或可调整的报价将不予接受，并按无效响应处理（但是按本采购文件的</w:t>
      </w:r>
      <w:r>
        <w:rPr>
          <w:rFonts w:hint="eastAsia" w:ascii="仿宋" w:hAnsi="仿宋" w:eastAsia="仿宋" w:cs="仿宋"/>
          <w:color w:val="000000"/>
          <w:sz w:val="24"/>
          <w:highlight w:val="none"/>
        </w:rPr>
        <w:t>规定，属于报价计算错误可以修改的情形除外）。</w:t>
      </w:r>
    </w:p>
    <w:p w14:paraId="359F1B7A">
      <w:pPr>
        <w:widowControl/>
        <w:spacing w:line="360" w:lineRule="auto"/>
        <w:ind w:firstLine="480"/>
        <w:jc w:val="both"/>
        <w:rPr>
          <w:rFonts w:hint="eastAsia" w:ascii="仿宋" w:hAnsi="仿宋" w:eastAsia="仿宋" w:cs="仿宋"/>
          <w:color w:val="000000"/>
          <w:sz w:val="24"/>
          <w:highlight w:val="none"/>
        </w:rPr>
      </w:pPr>
      <w:r>
        <w:rPr>
          <w:rFonts w:hint="eastAsia" w:ascii="仿宋" w:hAnsi="仿宋" w:eastAsia="仿宋" w:cs="仿宋"/>
          <w:color w:val="000000"/>
          <w:sz w:val="24"/>
          <w:highlight w:val="none"/>
        </w:rPr>
        <w:t>③</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eastAsia="zh-CN"/>
        </w:rPr>
        <w:t>最后报价一览表</w:t>
      </w:r>
      <w:r>
        <w:rPr>
          <w:rFonts w:hint="eastAsia" w:ascii="仿宋" w:hAnsi="仿宋" w:eastAsia="仿宋" w:cs="仿宋"/>
          <w:color w:val="000000"/>
          <w:sz w:val="24"/>
          <w:highlight w:val="none"/>
        </w:rPr>
        <w:t>”填写的报价将作为本次采购唯一的最</w:t>
      </w:r>
      <w:r>
        <w:rPr>
          <w:rFonts w:hint="eastAsia" w:ascii="仿宋" w:hAnsi="仿宋" w:eastAsia="仿宋" w:cs="仿宋"/>
          <w:color w:val="000000"/>
          <w:sz w:val="24"/>
          <w:highlight w:val="none"/>
          <w:lang w:eastAsia="zh-CN"/>
        </w:rPr>
        <w:t>后</w:t>
      </w:r>
      <w:r>
        <w:rPr>
          <w:rFonts w:hint="eastAsia" w:ascii="仿宋" w:hAnsi="仿宋" w:eastAsia="仿宋" w:cs="仿宋"/>
          <w:color w:val="000000"/>
          <w:sz w:val="24"/>
          <w:highlight w:val="none"/>
        </w:rPr>
        <w:t>报价依据。</w:t>
      </w:r>
    </w:p>
    <w:p w14:paraId="4F35E60E">
      <w:pPr>
        <w:widowControl/>
        <w:spacing w:line="360" w:lineRule="auto"/>
        <w:ind w:firstLine="480"/>
        <w:rPr>
          <w:rFonts w:hint="eastAsia" w:ascii="仿宋" w:hAnsi="仿宋" w:eastAsia="仿宋" w:cs="仿宋"/>
          <w:b/>
          <w:bCs w:val="0"/>
          <w:color w:val="auto"/>
          <w:sz w:val="24"/>
          <w:lang w:val="en-US" w:eastAsia="zh-CN"/>
        </w:rPr>
      </w:pPr>
    </w:p>
    <w:p w14:paraId="556411A3">
      <w:pPr>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10.4电子文档</w:t>
      </w:r>
    </w:p>
    <w:p w14:paraId="5E9281CE">
      <w:pPr>
        <w:widowControl/>
        <w:spacing w:line="360" w:lineRule="auto"/>
        <w:ind w:firstLine="480"/>
        <w:jc w:val="both"/>
        <w:rPr>
          <w:rFonts w:hint="eastAsia" w:ascii="仿宋" w:hAnsi="仿宋" w:eastAsia="仿宋" w:cs="仿宋"/>
          <w:bCs/>
          <w:color w:val="auto"/>
          <w:sz w:val="24"/>
        </w:rPr>
      </w:pPr>
      <w:r>
        <w:rPr>
          <w:rFonts w:hint="eastAsia" w:ascii="仿宋" w:hAnsi="仿宋" w:eastAsia="仿宋" w:cs="仿宋"/>
          <w:bCs/>
          <w:color w:val="auto"/>
          <w:sz w:val="24"/>
        </w:rPr>
        <w:t>响应文件电子</w:t>
      </w:r>
      <w:r>
        <w:rPr>
          <w:rFonts w:hint="eastAsia" w:ascii="仿宋" w:hAnsi="仿宋" w:eastAsia="仿宋" w:cs="仿宋"/>
          <w:bCs/>
          <w:color w:val="auto"/>
          <w:sz w:val="24"/>
          <w:lang w:eastAsia="zh-CN"/>
        </w:rPr>
        <w:t>文</w:t>
      </w:r>
      <w:r>
        <w:rPr>
          <w:rFonts w:hint="eastAsia" w:ascii="仿宋" w:hAnsi="仿宋" w:eastAsia="仿宋" w:cs="仿宋"/>
          <w:bCs/>
          <w:color w:val="auto"/>
          <w:sz w:val="24"/>
        </w:rPr>
        <w:t>档应当包含资格性响应文件和其他响应文件两部分。</w:t>
      </w:r>
    </w:p>
    <w:p w14:paraId="6AC2CC30">
      <w:pPr>
        <w:widowControl/>
        <w:spacing w:line="360" w:lineRule="auto"/>
        <w:jc w:val="left"/>
        <w:outlineLvl w:val="9"/>
        <w:rPr>
          <w:rFonts w:hint="eastAsia" w:ascii="仿宋" w:hAnsi="仿宋" w:eastAsia="仿宋" w:cs="仿宋"/>
          <w:color w:val="auto"/>
          <w:sz w:val="24"/>
        </w:rPr>
      </w:pPr>
    </w:p>
    <w:p w14:paraId="275AE783">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响应文件格式</w:t>
      </w:r>
    </w:p>
    <w:p w14:paraId="3310092A">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供应商应按照</w:t>
      </w:r>
      <w:r>
        <w:rPr>
          <w:rFonts w:hint="eastAsia" w:ascii="仿宋" w:hAnsi="仿宋" w:eastAsia="仿宋" w:cs="仿宋"/>
          <w:bCs/>
          <w:color w:val="auto"/>
          <w:sz w:val="24"/>
        </w:rPr>
        <w:t>竞争性谈判文件</w:t>
      </w:r>
      <w:r>
        <w:rPr>
          <w:rFonts w:hint="eastAsia" w:ascii="仿宋" w:hAnsi="仿宋" w:eastAsia="仿宋" w:cs="仿宋"/>
          <w:color w:val="auto"/>
          <w:sz w:val="24"/>
        </w:rPr>
        <w:t>第</w:t>
      </w:r>
      <w:r>
        <w:rPr>
          <w:rFonts w:hint="eastAsia" w:ascii="仿宋" w:hAnsi="仿宋" w:eastAsia="仿宋" w:cs="仿宋"/>
          <w:color w:val="auto"/>
          <w:sz w:val="24"/>
          <w:lang w:eastAsia="zh-CN"/>
        </w:rPr>
        <w:t>七</w:t>
      </w:r>
      <w:r>
        <w:rPr>
          <w:rFonts w:hint="eastAsia" w:ascii="仿宋" w:hAnsi="仿宋" w:eastAsia="仿宋" w:cs="仿宋"/>
          <w:color w:val="auto"/>
          <w:sz w:val="24"/>
        </w:rPr>
        <w:t>章中提供的“响应文件格式”填写相关内容。除格式中明确将该格式作为实质性要求的，一律不具有强制性，但是，供应商响应文件相关资料和本章所制格式不一致的，需涵盖所有要求内容，未按要求提供导致</w:t>
      </w:r>
      <w:r>
        <w:rPr>
          <w:rFonts w:hint="eastAsia" w:ascii="仿宋" w:hAnsi="仿宋" w:eastAsia="仿宋" w:cs="仿宋"/>
          <w:color w:val="auto"/>
          <w:sz w:val="24"/>
          <w:lang w:eastAsia="zh-CN"/>
        </w:rPr>
        <w:t>响应</w:t>
      </w:r>
      <w:r>
        <w:rPr>
          <w:rFonts w:hint="eastAsia" w:ascii="仿宋" w:hAnsi="仿宋" w:eastAsia="仿宋" w:cs="仿宋"/>
          <w:color w:val="auto"/>
          <w:sz w:val="24"/>
        </w:rPr>
        <w:t>文件被认定为无效</w:t>
      </w:r>
      <w:r>
        <w:rPr>
          <w:rFonts w:hint="eastAsia" w:ascii="仿宋" w:hAnsi="仿宋" w:eastAsia="仿宋" w:cs="仿宋"/>
          <w:color w:val="auto"/>
          <w:sz w:val="24"/>
          <w:lang w:eastAsia="zh-CN"/>
        </w:rPr>
        <w:t>响应</w:t>
      </w:r>
      <w:r>
        <w:rPr>
          <w:rFonts w:hint="eastAsia" w:ascii="仿宋" w:hAnsi="仿宋" w:eastAsia="仿宋" w:cs="仿宋"/>
          <w:color w:val="auto"/>
          <w:sz w:val="24"/>
        </w:rPr>
        <w:t>文件</w:t>
      </w:r>
      <w:r>
        <w:rPr>
          <w:rFonts w:hint="eastAsia" w:ascii="仿宋" w:hAnsi="仿宋" w:eastAsia="仿宋" w:cs="仿宋"/>
          <w:color w:val="auto"/>
          <w:sz w:val="24"/>
          <w:lang w:eastAsia="zh-CN"/>
        </w:rPr>
        <w:t>的</w:t>
      </w:r>
      <w:r>
        <w:rPr>
          <w:rFonts w:hint="eastAsia" w:ascii="仿宋" w:hAnsi="仿宋" w:eastAsia="仿宋" w:cs="仿宋"/>
          <w:color w:val="auto"/>
          <w:sz w:val="24"/>
        </w:rPr>
        <w:t>，后果由供应商自行承担。</w:t>
      </w:r>
    </w:p>
    <w:p w14:paraId="32075742">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rPr>
        <w:t>对于没有格式要求的内容由供应商根据其实际情况自行编写。</w:t>
      </w:r>
    </w:p>
    <w:p w14:paraId="45E54E1E">
      <w:pPr>
        <w:widowControl/>
        <w:spacing w:line="360" w:lineRule="auto"/>
        <w:jc w:val="both"/>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14:paraId="69AE98D7">
      <w:pPr>
        <w:widowControl/>
        <w:spacing w:line="360" w:lineRule="auto"/>
        <w:ind w:firstLine="482" w:firstLineChars="200"/>
        <w:jc w:val="both"/>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响应文件的印制及签署</w:t>
      </w:r>
    </w:p>
    <w:p w14:paraId="6A5CF12E">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w:t>
      </w:r>
      <w:r>
        <w:rPr>
          <w:rFonts w:hint="eastAsia" w:ascii="仿宋" w:hAnsi="仿宋" w:eastAsia="仿宋" w:cs="仿宋"/>
          <w:b/>
          <w:bCs/>
          <w:color w:val="auto"/>
          <w:sz w:val="24"/>
        </w:rPr>
        <w:t>资格性响应文件</w:t>
      </w:r>
      <w:r>
        <w:rPr>
          <w:rFonts w:hint="eastAsia" w:ascii="仿宋" w:hAnsi="仿宋" w:eastAsia="仿宋" w:cs="仿宋"/>
          <w:color w:val="auto"/>
          <w:sz w:val="24"/>
        </w:rPr>
        <w:t>正本1份、副本2份，并在其封面上清楚地标明资格性响应文件、采购项目名称、采购项目编号、包件号及名称（若有）、供应商名称以及“正本”或“副本”字样。若正本和副本有不一致的内容，以正本书面响应文件为准。</w:t>
      </w:r>
    </w:p>
    <w:p w14:paraId="66809D9B">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12.2</w:t>
      </w:r>
      <w:r>
        <w:rPr>
          <w:rFonts w:hint="eastAsia" w:ascii="仿宋" w:hAnsi="仿宋" w:eastAsia="仿宋" w:cs="仿宋"/>
          <w:b/>
          <w:bCs/>
          <w:color w:val="auto"/>
          <w:sz w:val="24"/>
        </w:rPr>
        <w:t>其他响应文件</w:t>
      </w:r>
      <w:r>
        <w:rPr>
          <w:rFonts w:hint="eastAsia" w:ascii="仿宋" w:hAnsi="仿宋" w:eastAsia="仿宋" w:cs="仿宋"/>
          <w:color w:val="auto"/>
          <w:sz w:val="24"/>
        </w:rPr>
        <w:t>正本1份、副本2份，并在其封面上清楚地标明其他响应文件、采购项目名称、采购项目编号、包件号及名称（若有）、供应商名称以及“正本”或“副本”字样。若正本和副本有不一致的内容，以正本书面响应文件为准。</w:t>
      </w:r>
    </w:p>
    <w:p w14:paraId="460EA018">
      <w:pPr>
        <w:widowControl/>
        <w:spacing w:line="360" w:lineRule="auto"/>
        <w:ind w:firstLine="480"/>
        <w:jc w:val="both"/>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w:t>
      </w:r>
      <w:r>
        <w:rPr>
          <w:rFonts w:hint="eastAsia" w:ascii="仿宋" w:hAnsi="仿宋" w:eastAsia="仿宋" w:cs="仿宋"/>
          <w:b/>
          <w:bCs/>
          <w:color w:val="auto"/>
          <w:sz w:val="24"/>
          <w:lang w:val="en-US" w:eastAsia="zh-CN"/>
        </w:rPr>
        <w:t>报价响应文件</w:t>
      </w:r>
      <w:r>
        <w:rPr>
          <w:rFonts w:hint="eastAsia" w:ascii="仿宋" w:hAnsi="仿宋" w:eastAsia="仿宋" w:cs="仿宋"/>
          <w:color w:val="auto"/>
          <w:sz w:val="24"/>
          <w:lang w:val="en-US" w:eastAsia="zh-CN"/>
        </w:rPr>
        <w:t>1份，并在其封面上清楚地标明报价响应文件、采购项目名称、采购项目编号、包件号及名称（若有）、供应商名称。</w:t>
      </w:r>
    </w:p>
    <w:p w14:paraId="02801E8D">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b/>
          <w:bCs/>
          <w:color w:val="auto"/>
          <w:sz w:val="24"/>
        </w:rPr>
        <w:t>响应文件电子</w:t>
      </w:r>
      <w:r>
        <w:rPr>
          <w:rFonts w:hint="eastAsia" w:ascii="仿宋" w:hAnsi="仿宋" w:eastAsia="仿宋" w:cs="仿宋"/>
          <w:b/>
          <w:bCs/>
          <w:color w:val="auto"/>
          <w:sz w:val="24"/>
          <w:lang w:eastAsia="zh-CN"/>
        </w:rPr>
        <w:t>文</w:t>
      </w:r>
      <w:r>
        <w:rPr>
          <w:rFonts w:hint="eastAsia" w:ascii="仿宋" w:hAnsi="仿宋" w:eastAsia="仿宋" w:cs="仿宋"/>
          <w:b/>
          <w:bCs/>
          <w:color w:val="auto"/>
          <w:sz w:val="24"/>
        </w:rPr>
        <w:t>档</w:t>
      </w:r>
      <w:r>
        <w:rPr>
          <w:rFonts w:hint="eastAsia" w:ascii="仿宋" w:hAnsi="仿宋" w:eastAsia="仿宋" w:cs="仿宋"/>
          <w:color w:val="auto"/>
          <w:sz w:val="24"/>
        </w:rPr>
        <w:t>在其封面上清楚地标明采购项目名称、采购项目编号、包件号及名称（若有）、供应商名称。</w:t>
      </w:r>
    </w:p>
    <w:p w14:paraId="5BE7C1FD">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12.5</w:t>
      </w:r>
      <w:r>
        <w:rPr>
          <w:rFonts w:hint="eastAsia" w:ascii="仿宋" w:hAnsi="仿宋" w:eastAsia="仿宋" w:cs="仿宋"/>
          <w:color w:val="auto"/>
          <w:sz w:val="24"/>
        </w:rPr>
        <w:t>若响应文件正本与副本内容出现差异时，则以正本为准，但是以下情形除外：</w:t>
      </w:r>
    </w:p>
    <w:p w14:paraId="16134646">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当副本与正本不一致,副本中资料签字盖章内容完善、完整，并以原件呈现，完全符合采购文件各项规定要求的；</w:t>
      </w:r>
    </w:p>
    <w:p w14:paraId="28FAC716">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经澄清程序，供应商现场确认的。副本可用正本的影印件。</w:t>
      </w:r>
    </w:p>
    <w:p w14:paraId="4F4ABED9">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12.6</w:t>
      </w:r>
      <w:r>
        <w:rPr>
          <w:rFonts w:hint="eastAsia" w:ascii="仿宋" w:hAnsi="仿宋" w:eastAsia="仿宋" w:cs="仿宋"/>
          <w:color w:val="auto"/>
          <w:sz w:val="24"/>
        </w:rPr>
        <w:t>响应文件的正本必须使用不褪色、不变质的墨水书写或打印，并由供应商的法定代表人或其授权代表在规定签章处签字并盖章。响应文件副本可采用正本的影印件。</w:t>
      </w:r>
    </w:p>
    <w:p w14:paraId="2C2D5058">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12.7</w:t>
      </w:r>
      <w:r>
        <w:rPr>
          <w:rFonts w:hint="eastAsia" w:ascii="仿宋" w:hAnsi="仿宋" w:eastAsia="仿宋" w:cs="仿宋"/>
          <w:color w:val="auto"/>
          <w:sz w:val="24"/>
        </w:rPr>
        <w:t>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14:paraId="34CF8C19">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12.8</w:t>
      </w:r>
      <w:r>
        <w:rPr>
          <w:rFonts w:hint="eastAsia" w:ascii="仿宋" w:hAnsi="仿宋" w:eastAsia="仿宋" w:cs="仿宋"/>
          <w:b/>
          <w:bCs/>
          <w:color w:val="auto"/>
          <w:sz w:val="24"/>
          <w:szCs w:val="24"/>
        </w:rPr>
        <w:t>（实质性要求）</w:t>
      </w:r>
      <w:r>
        <w:rPr>
          <w:rFonts w:hint="eastAsia" w:ascii="仿宋" w:hAnsi="仿宋" w:eastAsia="仿宋" w:cs="仿宋"/>
          <w:color w:val="auto"/>
          <w:sz w:val="24"/>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14:paraId="01DE7E3F">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12.9</w:t>
      </w:r>
      <w:r>
        <w:rPr>
          <w:rFonts w:hint="eastAsia" w:ascii="仿宋" w:hAnsi="仿宋" w:eastAsia="仿宋" w:cs="仿宋"/>
          <w:color w:val="auto"/>
          <w:sz w:val="24"/>
        </w:rPr>
        <w:t>响应文件正本和副本必须无钉左侧胶装并逐页编码，资格性响应文件和其他响应文件应分册装订。</w:t>
      </w:r>
    </w:p>
    <w:p w14:paraId="0606115E">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12.10</w:t>
      </w:r>
      <w:r>
        <w:rPr>
          <w:rFonts w:hint="eastAsia" w:ascii="仿宋" w:hAnsi="仿宋" w:eastAsia="仿宋" w:cs="仿宋"/>
          <w:color w:val="auto"/>
          <w:sz w:val="24"/>
        </w:rPr>
        <w:t>响应文件应根据</w:t>
      </w:r>
      <w:r>
        <w:rPr>
          <w:rFonts w:hint="eastAsia" w:ascii="仿宋" w:hAnsi="仿宋" w:eastAsia="仿宋" w:cs="仿宋"/>
          <w:color w:val="auto"/>
          <w:sz w:val="24"/>
          <w:lang w:eastAsia="zh-CN"/>
        </w:rPr>
        <w:t>谈判</w:t>
      </w:r>
      <w:r>
        <w:rPr>
          <w:rFonts w:hint="eastAsia" w:ascii="仿宋" w:hAnsi="仿宋" w:eastAsia="仿宋" w:cs="仿宋"/>
          <w:color w:val="auto"/>
          <w:sz w:val="24"/>
        </w:rPr>
        <w:t>文件的要求制作，签署、盖章和内容应完整。</w:t>
      </w:r>
    </w:p>
    <w:p w14:paraId="4047EB34">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12.11</w:t>
      </w:r>
      <w:r>
        <w:rPr>
          <w:rFonts w:hint="eastAsia" w:ascii="仿宋" w:hAnsi="仿宋" w:eastAsia="仿宋" w:cs="仿宋"/>
          <w:color w:val="auto"/>
          <w:sz w:val="24"/>
        </w:rPr>
        <w:t>响应文件统一用A4幅面纸印制。</w:t>
      </w:r>
    </w:p>
    <w:p w14:paraId="407F7A9E">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12.12</w:t>
      </w:r>
      <w:r>
        <w:rPr>
          <w:rFonts w:hint="eastAsia" w:ascii="仿宋" w:hAnsi="仿宋" w:eastAsia="仿宋" w:cs="仿宋"/>
          <w:color w:val="auto"/>
          <w:sz w:val="24"/>
        </w:rPr>
        <w:t>响应文件电子</w:t>
      </w:r>
      <w:r>
        <w:rPr>
          <w:rFonts w:hint="eastAsia" w:ascii="仿宋" w:hAnsi="仿宋" w:eastAsia="仿宋" w:cs="仿宋"/>
          <w:color w:val="auto"/>
          <w:sz w:val="24"/>
          <w:lang w:eastAsia="zh-CN"/>
        </w:rPr>
        <w:t>文档</w:t>
      </w:r>
      <w:r>
        <w:rPr>
          <w:rFonts w:hint="eastAsia" w:ascii="仿宋" w:hAnsi="仿宋" w:eastAsia="仿宋" w:cs="仿宋"/>
          <w:color w:val="auto"/>
          <w:sz w:val="24"/>
        </w:rPr>
        <w:t>须包含资格性响应文件和其他响应文件两部分，并制作为PDF格式文件，并拷贝到空白U盘中，U盘表面应标注供应商名称；供应商递交的电子</w:t>
      </w:r>
      <w:r>
        <w:rPr>
          <w:rFonts w:hint="eastAsia" w:ascii="仿宋" w:hAnsi="仿宋" w:eastAsia="仿宋" w:cs="仿宋"/>
          <w:color w:val="auto"/>
          <w:sz w:val="24"/>
          <w:lang w:eastAsia="zh-CN"/>
        </w:rPr>
        <w:t>文档</w:t>
      </w:r>
      <w:r>
        <w:rPr>
          <w:rFonts w:hint="eastAsia" w:ascii="仿宋" w:hAnsi="仿宋" w:eastAsia="仿宋" w:cs="仿宋"/>
          <w:color w:val="auto"/>
          <w:sz w:val="24"/>
        </w:rPr>
        <w:t>与纸质版正本不得出现实质性不一致（如内容不齐全、模糊不清等）的任何情形。</w:t>
      </w:r>
    </w:p>
    <w:p w14:paraId="6728316E">
      <w:pPr>
        <w:widowControl/>
        <w:spacing w:line="360" w:lineRule="auto"/>
        <w:ind w:firstLine="480"/>
        <w:jc w:val="both"/>
        <w:rPr>
          <w:rFonts w:hint="eastAsia" w:ascii="仿宋" w:hAnsi="仿宋" w:eastAsia="仿宋" w:cs="仿宋"/>
          <w:b/>
          <w:bCs/>
          <w:color w:val="auto"/>
          <w:sz w:val="24"/>
        </w:rPr>
      </w:pPr>
      <w:r>
        <w:rPr>
          <w:rFonts w:hint="eastAsia" w:ascii="仿宋" w:hAnsi="仿宋" w:eastAsia="仿宋" w:cs="仿宋"/>
          <w:b/>
          <w:bCs/>
          <w:color w:val="auto"/>
          <w:sz w:val="24"/>
        </w:rPr>
        <w:t>注：响应文件电子</w:t>
      </w:r>
      <w:r>
        <w:rPr>
          <w:rFonts w:hint="eastAsia" w:ascii="仿宋" w:hAnsi="仿宋" w:eastAsia="仿宋" w:cs="仿宋"/>
          <w:b/>
          <w:bCs/>
          <w:color w:val="auto"/>
          <w:sz w:val="24"/>
          <w:lang w:eastAsia="zh-CN"/>
        </w:rPr>
        <w:t>文档</w:t>
      </w:r>
      <w:r>
        <w:rPr>
          <w:rFonts w:hint="eastAsia" w:ascii="仿宋" w:hAnsi="仿宋" w:eastAsia="仿宋" w:cs="仿宋"/>
          <w:b/>
          <w:bCs/>
          <w:color w:val="auto"/>
          <w:sz w:val="24"/>
        </w:rPr>
        <w:t>制作的参考方法：响应文件纸质版正本按照</w:t>
      </w:r>
      <w:r>
        <w:rPr>
          <w:rFonts w:hint="eastAsia" w:ascii="仿宋" w:hAnsi="仿宋" w:eastAsia="仿宋" w:cs="仿宋"/>
          <w:b/>
          <w:bCs/>
          <w:color w:val="auto"/>
          <w:sz w:val="24"/>
          <w:lang w:eastAsia="zh-CN"/>
        </w:rPr>
        <w:t>谈判</w:t>
      </w:r>
      <w:r>
        <w:rPr>
          <w:rFonts w:hint="eastAsia" w:ascii="仿宋" w:hAnsi="仿宋" w:eastAsia="仿宋" w:cs="仿宋"/>
          <w:b/>
          <w:bCs/>
          <w:color w:val="auto"/>
          <w:sz w:val="24"/>
        </w:rPr>
        <w:t>文件要求制作完毕后（签字盖章完毕并检查无误），先按页码逐页（包括封面）进行彩色扫描，扫描完成后再将纸质版正本胶装成册，扫描形成的图像文件依序制作成一个PDF格式文件。</w:t>
      </w:r>
    </w:p>
    <w:p w14:paraId="74B22CAF">
      <w:pPr>
        <w:widowControl/>
        <w:spacing w:line="360" w:lineRule="auto"/>
        <w:ind w:firstLine="480"/>
        <w:jc w:val="both"/>
        <w:rPr>
          <w:rFonts w:hint="eastAsia" w:ascii="仿宋" w:hAnsi="仿宋" w:eastAsia="仿宋" w:cs="仿宋"/>
          <w:b/>
          <w:bCs/>
          <w:color w:val="auto"/>
          <w:sz w:val="24"/>
        </w:rPr>
      </w:pPr>
    </w:p>
    <w:p w14:paraId="728B47B7">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响应文件的密封和标注</w:t>
      </w:r>
    </w:p>
    <w:p w14:paraId="396DDC51">
      <w:pPr>
        <w:widowControl/>
        <w:spacing w:line="360" w:lineRule="auto"/>
        <w:ind w:firstLine="480" w:firstLineChars="20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color w:val="auto"/>
          <w:sz w:val="24"/>
          <w:lang w:val="en-US" w:eastAsia="zh-CN"/>
        </w:rPr>
        <w:t>“资格性响应文件”、“其他响应文件”、“报价响应文件”</w:t>
      </w:r>
      <w:r>
        <w:rPr>
          <w:rFonts w:hint="eastAsia" w:ascii="仿宋" w:hAnsi="仿宋" w:eastAsia="仿宋" w:cs="仿宋"/>
          <w:color w:val="auto"/>
          <w:sz w:val="24"/>
          <w:lang w:val="en-US" w:eastAsia="zh-CN"/>
        </w:rPr>
        <w:t>和</w:t>
      </w:r>
      <w:r>
        <w:rPr>
          <w:rFonts w:hint="eastAsia" w:ascii="仿宋" w:hAnsi="仿宋" w:eastAsia="仿宋" w:cs="仿宋"/>
          <w:b/>
          <w:bCs/>
          <w:color w:val="auto"/>
          <w:sz w:val="24"/>
          <w:lang w:val="en-US" w:eastAsia="zh-CN"/>
        </w:rPr>
        <w:t>“电子文档”</w:t>
      </w:r>
      <w:r>
        <w:rPr>
          <w:rFonts w:hint="eastAsia" w:ascii="仿宋" w:hAnsi="仿宋" w:eastAsia="仿宋" w:cs="仿宋"/>
          <w:color w:val="auto"/>
          <w:sz w:val="24"/>
          <w:lang w:val="en-US" w:eastAsia="zh-CN"/>
        </w:rPr>
        <w:t>均需单独密封。</w:t>
      </w:r>
    </w:p>
    <w:p w14:paraId="7900A742">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13.2每一密封件上应注明“于　　年　　月　　日　　时　　分之前不准启封”字样（报价响应文件除外），所有外层密封袋的封口处应粘贴牢固，并加盖密封章（供应商公章）。</w:t>
      </w:r>
    </w:p>
    <w:p w14:paraId="7A438F10">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13.3如未按以上规定密封和标记，采购代理机构对响应文件的误投或提前拆封不负责任。对由此造成提前开封的响应文件，采购代理机构将有权拒绝并退回。</w:t>
      </w:r>
    </w:p>
    <w:p w14:paraId="6DE6C7B8">
      <w:pPr>
        <w:widowControl/>
        <w:spacing w:line="360" w:lineRule="auto"/>
        <w:ind w:firstLine="480"/>
        <w:jc w:val="both"/>
        <w:rPr>
          <w:rFonts w:hint="eastAsia" w:ascii="仿宋" w:hAnsi="仿宋" w:eastAsia="仿宋" w:cs="仿宋"/>
          <w:color w:val="auto"/>
          <w:sz w:val="24"/>
          <w:lang w:val="en-US" w:eastAsia="zh-CN"/>
        </w:rPr>
      </w:pPr>
    </w:p>
    <w:p w14:paraId="2B8BE7BB">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响应文件的递交</w:t>
      </w:r>
    </w:p>
    <w:p w14:paraId="59C23839">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供应商应在</w:t>
      </w:r>
      <w:r>
        <w:rPr>
          <w:rFonts w:hint="eastAsia" w:ascii="仿宋" w:hAnsi="仿宋" w:eastAsia="仿宋" w:cs="仿宋"/>
          <w:bCs/>
          <w:color w:val="auto"/>
          <w:sz w:val="24"/>
        </w:rPr>
        <w:t>竞争性谈判文件</w:t>
      </w:r>
      <w:r>
        <w:rPr>
          <w:rFonts w:hint="eastAsia" w:ascii="仿宋" w:hAnsi="仿宋" w:eastAsia="仿宋" w:cs="仿宋"/>
          <w:color w:val="auto"/>
          <w:sz w:val="24"/>
        </w:rPr>
        <w:t>规定的递交响应文件截止时间前，将响应文件按</w:t>
      </w:r>
      <w:r>
        <w:rPr>
          <w:rFonts w:hint="eastAsia" w:ascii="仿宋" w:hAnsi="仿宋" w:eastAsia="仿宋" w:cs="仿宋"/>
          <w:bCs/>
          <w:color w:val="auto"/>
          <w:sz w:val="24"/>
        </w:rPr>
        <w:t>竞争性谈判文件</w:t>
      </w:r>
      <w:r>
        <w:rPr>
          <w:rFonts w:hint="eastAsia" w:ascii="仿宋" w:hAnsi="仿宋" w:eastAsia="仿宋" w:cs="仿宋"/>
          <w:color w:val="auto"/>
          <w:sz w:val="24"/>
        </w:rPr>
        <w:t>的规定密封后送达递交响应文件地点。递交响应文件截止时间以后送达的响应文件将不予接收，采购单位将告知供应商不予接收的原因。</w:t>
      </w:r>
    </w:p>
    <w:p w14:paraId="47B6F7DD">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14.2</w:t>
      </w:r>
      <w:r>
        <w:rPr>
          <w:rFonts w:hint="eastAsia" w:ascii="仿宋" w:hAnsi="仿宋" w:eastAsia="仿宋" w:cs="仿宋"/>
          <w:color w:val="auto"/>
          <w:sz w:val="24"/>
        </w:rPr>
        <w:t>递交响应文件时，报名供应商名称和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的文号、分包号应当与供应商名称和响应文件的文号、分包号一致。但是，响应文件实质内容报名供应商名称和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的文号、分包号一致，只是封面文字错误的，可以在评审过程中当面予以澄清，以有效的澄清材料作为认定响应文件是否有效的依据。</w:t>
      </w:r>
    </w:p>
    <w:p w14:paraId="0828794A">
      <w:pPr>
        <w:widowControl/>
        <w:spacing w:line="360" w:lineRule="auto"/>
        <w:ind w:firstLine="480"/>
        <w:jc w:val="both"/>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14.3“最后报价一览表”在谈判后，由谈判小组要求供应商进行最后报价时，单独放在报价响应文件袋内密封后递交。</w:t>
      </w:r>
    </w:p>
    <w:p w14:paraId="51834A9B">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szCs w:val="24"/>
          <w:lang w:val="en-US" w:eastAsia="zh-CN"/>
        </w:rPr>
        <w:t>14.4本次采购不接收邮寄的响应文件。</w:t>
      </w:r>
    </w:p>
    <w:p w14:paraId="5C817D6E">
      <w:pPr>
        <w:pStyle w:val="2"/>
        <w:spacing w:line="360" w:lineRule="auto"/>
        <w:ind w:firstLine="480"/>
        <w:rPr>
          <w:rFonts w:hint="eastAsia" w:ascii="仿宋" w:hAnsi="仿宋" w:eastAsia="仿宋" w:cs="仿宋"/>
          <w:color w:val="auto"/>
        </w:rPr>
      </w:pPr>
    </w:p>
    <w:p w14:paraId="671492F1">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 xml:space="preserve">响应文件的修改和撤回 </w:t>
      </w:r>
    </w:p>
    <w:p w14:paraId="3AD88BE1">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14:paraId="0F1D9CC1">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.2供应商对响应文件修改的书面材料或撤销的通知应该按本章的规定进行编写、密封、标注和递送，并注明“修改”或“撤销”字样。</w:t>
      </w:r>
    </w:p>
    <w:p w14:paraId="4682FF44">
      <w:pPr>
        <w:adjustRightInd w:val="0"/>
        <w:snapToGrid w:val="0"/>
        <w:spacing w:line="360" w:lineRule="auto"/>
        <w:ind w:firstLine="480" w:firstLineChars="200"/>
        <w:jc w:val="both"/>
        <w:rPr>
          <w:rFonts w:hint="eastAsia"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.3供应商不得在递交截止时间起至响应文件有效期期满前撤销其响应文件，否则将认定其响应文件有效期的承诺为虚假承诺，并依法追究其法律责任。</w:t>
      </w:r>
    </w:p>
    <w:p w14:paraId="19F2399D">
      <w:pPr>
        <w:spacing w:line="360" w:lineRule="auto"/>
        <w:ind w:firstLine="480" w:firstLineChars="200"/>
        <w:outlineLvl w:val="9"/>
        <w:rPr>
          <w:rFonts w:ascii="仿宋" w:hAnsi="仿宋" w:eastAsia="仿宋" w:cs="仿宋"/>
          <w:b/>
          <w:color w:val="auto"/>
          <w:sz w:val="24"/>
        </w:rPr>
      </w:pPr>
      <w:r>
        <w:rPr>
          <w:rFonts w:hint="eastAsia" w:ascii="仿宋" w:hAnsi="仿宋" w:eastAsia="仿宋" w:cs="仿宋"/>
          <w:bCs/>
          <w:color w:val="auto"/>
          <w:sz w:val="24"/>
          <w:lang w:val="en-US" w:eastAsia="zh-CN"/>
        </w:rPr>
        <w:t>15</w:t>
      </w:r>
      <w:r>
        <w:rPr>
          <w:rFonts w:hint="eastAsia" w:ascii="仿宋" w:hAnsi="仿宋" w:eastAsia="仿宋" w:cs="仿宋"/>
          <w:bCs/>
          <w:color w:val="auto"/>
          <w:sz w:val="24"/>
        </w:rPr>
        <w:t>.4</w:t>
      </w:r>
      <w:r>
        <w:rPr>
          <w:rFonts w:hint="eastAsia" w:ascii="仿宋" w:hAnsi="仿宋" w:eastAsia="仿宋" w:cs="仿宋"/>
          <w:color w:val="auto"/>
          <w:sz w:val="24"/>
        </w:rPr>
        <w:t>供应商对其提交的响应文件的真实性、合法性承担法律责任。</w:t>
      </w:r>
    </w:p>
    <w:p w14:paraId="6666B5FC">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评审</w:t>
      </w:r>
    </w:p>
    <w:p w14:paraId="4AE448D7">
      <w:pPr>
        <w:keepNext w:val="0"/>
        <w:spacing w:before="313" w:beforeLines="100" w:after="313" w:afterLines="100" w:line="360" w:lineRule="auto"/>
        <w:ind w:firstLine="480" w:firstLineChars="200"/>
        <w:jc w:val="center"/>
        <w:outlineLvl w:val="9"/>
        <w:rPr>
          <w:rFonts w:hint="eastAsia" w:ascii="仿宋" w:hAnsi="仿宋" w:eastAsia="仿宋" w:cs="仿宋"/>
          <w:color w:val="auto"/>
          <w:sz w:val="30"/>
          <w:szCs w:val="30"/>
          <w:lang w:eastAsia="zh-CN"/>
        </w:rPr>
      </w:pP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小组的组建及其评审工作按照有关法律制度和本文件第</w:t>
      </w:r>
      <w:r>
        <w:rPr>
          <w:rFonts w:hint="eastAsia" w:ascii="仿宋" w:hAnsi="仿宋" w:eastAsia="仿宋" w:cs="仿宋"/>
          <w:b w:val="0"/>
          <w:bCs w:val="0"/>
          <w:color w:val="auto"/>
          <w:sz w:val="24"/>
          <w:szCs w:val="24"/>
          <w:lang w:eastAsia="zh-CN"/>
        </w:rPr>
        <w:t>八</w:t>
      </w:r>
      <w:r>
        <w:rPr>
          <w:rFonts w:hint="eastAsia" w:ascii="仿宋" w:hAnsi="仿宋" w:eastAsia="仿宋" w:cs="仿宋"/>
          <w:b w:val="0"/>
          <w:bCs w:val="0"/>
          <w:color w:val="auto"/>
          <w:sz w:val="24"/>
          <w:szCs w:val="24"/>
        </w:rPr>
        <w:t>章的规定进行。</w:t>
      </w:r>
    </w:p>
    <w:p w14:paraId="169C0906">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六、成交</w:t>
      </w:r>
    </w:p>
    <w:p w14:paraId="21F66FE8">
      <w:pPr>
        <w:keepNext w:val="0"/>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确定成交供应商</w:t>
      </w:r>
    </w:p>
    <w:p w14:paraId="6690B282">
      <w:pPr>
        <w:keepNext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16.1确定成交供应商方式</w:t>
      </w:r>
    </w:p>
    <w:p w14:paraId="2163489C">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14:paraId="33E9DE64">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（2）由采购人授权</w:t>
      </w:r>
      <w:r>
        <w:rPr>
          <w:rFonts w:hint="eastAsia" w:ascii="仿宋" w:hAnsi="仿宋" w:eastAsia="仿宋" w:cs="仿宋"/>
          <w:b w:val="0"/>
          <w:bCs/>
          <w:color w:val="auto"/>
          <w:sz w:val="24"/>
          <w:lang w:eastAsia="zh-CN"/>
        </w:rPr>
        <w:t>谈判</w:t>
      </w:r>
      <w:r>
        <w:rPr>
          <w:rFonts w:hint="eastAsia" w:ascii="仿宋" w:hAnsi="仿宋" w:eastAsia="仿宋" w:cs="仿宋"/>
          <w:b w:val="0"/>
          <w:bCs/>
          <w:color w:val="auto"/>
          <w:sz w:val="24"/>
        </w:rPr>
        <w:t>小组确定成交供应商。</w:t>
      </w:r>
    </w:p>
    <w:p w14:paraId="1C4F3D37">
      <w:pPr>
        <w:spacing w:line="360" w:lineRule="auto"/>
        <w:ind w:firstLine="480" w:firstLineChars="200"/>
        <w:outlineLvl w:val="9"/>
        <w:rPr>
          <w:rFonts w:hint="eastAsia" w:ascii="仿宋" w:hAnsi="仿宋" w:eastAsia="仿宋" w:cs="仿宋"/>
          <w:color w:val="auto"/>
          <w:sz w:val="24"/>
        </w:rPr>
      </w:pPr>
      <w:r>
        <w:rPr>
          <w:rFonts w:hint="eastAsia" w:ascii="仿宋" w:hAnsi="仿宋" w:eastAsia="仿宋" w:cs="仿宋"/>
          <w:b w:val="0"/>
          <w:bCs/>
          <w:color w:val="auto"/>
          <w:sz w:val="24"/>
        </w:rPr>
        <w:t>本项目采用第（1）种方式确定成交供应商。</w:t>
      </w:r>
    </w:p>
    <w:p w14:paraId="347FEA6C">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16</w:t>
      </w:r>
      <w:r>
        <w:rPr>
          <w:rFonts w:ascii="仿宋" w:hAnsi="仿宋" w:eastAsia="仿宋" w:cs="仿宋"/>
          <w:b w:val="0"/>
          <w:color w:val="auto"/>
          <w:sz w:val="24"/>
        </w:rPr>
        <w:t>.</w:t>
      </w:r>
      <w:r>
        <w:rPr>
          <w:rFonts w:hint="eastAsia" w:ascii="仿宋" w:hAnsi="仿宋" w:eastAsia="仿宋" w:cs="仿宋"/>
          <w:b w:val="0"/>
          <w:color w:val="auto"/>
          <w:sz w:val="24"/>
          <w:lang w:val="en-US" w:eastAsia="zh-CN"/>
        </w:rPr>
        <w:t>2</w:t>
      </w:r>
      <w:r>
        <w:rPr>
          <w:rFonts w:hint="eastAsia" w:ascii="仿宋" w:hAnsi="仿宋" w:eastAsia="仿宋" w:cs="仿宋"/>
          <w:b w:val="0"/>
          <w:color w:val="auto"/>
          <w:sz w:val="24"/>
        </w:rPr>
        <w:t>采购人确定成交供应商过程中，发现成交候选供应商有下列情形之一的，不予确定其为成交供应商：</w:t>
      </w:r>
    </w:p>
    <w:p w14:paraId="20F18DE5">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）成交候选供应商属于禁止参加本项目采购活动的；</w:t>
      </w:r>
    </w:p>
    <w:p w14:paraId="11C0B45A">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）成交候选供应商因不可抗力，不能继续参加采购活动；</w:t>
      </w:r>
    </w:p>
    <w:p w14:paraId="7A41C53F">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）成交候选供应商无偿赠与或者低于成本价竞争；</w:t>
      </w:r>
    </w:p>
    <w:p w14:paraId="20B56A23">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）成交候选供应商提供虚假材料；</w:t>
      </w:r>
    </w:p>
    <w:p w14:paraId="031624DF">
      <w:pPr>
        <w:keepNext w:val="0"/>
        <w:spacing w:line="360" w:lineRule="auto"/>
        <w:ind w:firstLine="480" w:firstLineChars="200"/>
        <w:rPr>
          <w:rFonts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）成交候选供应商恶意串通。</w:t>
      </w:r>
    </w:p>
    <w:p w14:paraId="5DB891CC">
      <w:pPr>
        <w:spacing w:line="360" w:lineRule="auto"/>
        <w:ind w:firstLine="480" w:firstLineChars="0"/>
        <w:rPr>
          <w:rFonts w:ascii="仿宋" w:hAnsi="仿宋" w:eastAsia="仿宋" w:cs="仿宋"/>
          <w:color w:val="auto"/>
          <w:sz w:val="24"/>
        </w:rPr>
      </w:pPr>
      <w:r>
        <w:rPr>
          <w:rFonts w:hint="eastAsia" w:ascii="仿宋" w:hAnsi="仿宋" w:eastAsia="仿宋" w:cs="仿宋"/>
          <w:color w:val="auto"/>
          <w:sz w:val="24"/>
        </w:rPr>
        <w:t>成交候选供应商有本条情形之一的，采购人可以确定后一位成交候选供应商为成交供应商，依次类推。无法确定成交供应商的，应当重新组织采购。</w:t>
      </w:r>
    </w:p>
    <w:p w14:paraId="23204E08">
      <w:pPr>
        <w:keepNext w:val="0"/>
        <w:spacing w:line="360" w:lineRule="auto"/>
        <w:ind w:firstLine="480" w:firstLineChars="200"/>
        <w:outlineLvl w:val="9"/>
        <w:rPr>
          <w:rFonts w:hint="eastAsia" w:ascii="仿宋" w:hAnsi="仿宋" w:eastAsia="仿宋" w:cs="仿宋"/>
          <w:color w:val="auto"/>
          <w:sz w:val="24"/>
        </w:rPr>
      </w:pPr>
    </w:p>
    <w:p w14:paraId="03515258">
      <w:pPr>
        <w:keepNext w:val="0"/>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rPr>
        <w:t>成交结果</w:t>
      </w:r>
    </w:p>
    <w:p w14:paraId="66BEC813">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1</w:t>
      </w:r>
      <w:r>
        <w:rPr>
          <w:rFonts w:hint="eastAsia" w:ascii="仿宋" w:hAnsi="仿宋" w:eastAsia="仿宋" w:cs="仿宋"/>
          <w:color w:val="auto"/>
          <w:sz w:val="24"/>
        </w:rPr>
        <w:t>采购人确定成交供应商后，将及时书面通知采购代理机构，</w:t>
      </w:r>
      <w:r>
        <w:rPr>
          <w:rFonts w:hint="eastAsia" w:ascii="仿宋" w:hAnsi="仿宋" w:eastAsia="仿宋" w:cs="仿宋"/>
          <w:bCs/>
          <w:color w:val="auto"/>
          <w:sz w:val="24"/>
        </w:rPr>
        <w:t>采购代理机构将根据确定的成交供应商</w:t>
      </w:r>
      <w:r>
        <w:rPr>
          <w:rFonts w:hint="eastAsia" w:ascii="仿宋" w:hAnsi="仿宋" w:eastAsia="仿宋" w:cs="仿宋"/>
          <w:bCs/>
          <w:color w:val="auto"/>
          <w:sz w:val="24"/>
          <w:lang w:eastAsia="zh-CN"/>
        </w:rPr>
        <w:t>发布成交结果公告</w:t>
      </w:r>
      <w:r>
        <w:rPr>
          <w:rFonts w:hint="eastAsia" w:ascii="仿宋" w:hAnsi="仿宋" w:eastAsia="仿宋" w:cs="仿宋"/>
          <w:bCs/>
          <w:color w:val="auto"/>
          <w:sz w:val="24"/>
        </w:rPr>
        <w:t>，</w:t>
      </w:r>
      <w:r>
        <w:rPr>
          <w:rFonts w:hint="eastAsia" w:ascii="仿宋" w:hAnsi="仿宋" w:eastAsia="仿宋" w:cs="仿宋"/>
          <w:bCs/>
          <w:color w:val="auto"/>
          <w:sz w:val="24"/>
          <w:lang w:eastAsia="zh-CN"/>
        </w:rPr>
        <w:t>并</w:t>
      </w:r>
      <w:r>
        <w:rPr>
          <w:rFonts w:hint="eastAsia" w:ascii="仿宋" w:hAnsi="仿宋" w:eastAsia="仿宋" w:cs="仿宋"/>
          <w:bCs/>
          <w:color w:val="auto"/>
          <w:sz w:val="24"/>
        </w:rPr>
        <w:t>电话通知成交供应商，同时向成交供应商发出成交通知书。</w:t>
      </w:r>
    </w:p>
    <w:p w14:paraId="680D0AC8">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.2</w:t>
      </w:r>
      <w:r>
        <w:rPr>
          <w:rFonts w:hint="eastAsia" w:ascii="仿宋" w:hAnsi="仿宋" w:eastAsia="仿宋" w:cs="仿宋"/>
          <w:color w:val="auto"/>
          <w:sz w:val="24"/>
        </w:rPr>
        <w:t>成交供应商应当及时领取成交通知书。本项目需要交纳履约保证金的，成交供应商应当及时向采购人交纳。</w:t>
      </w:r>
    </w:p>
    <w:p w14:paraId="53FA2708">
      <w:pPr>
        <w:spacing w:line="360" w:lineRule="auto"/>
        <w:ind w:firstLine="465"/>
        <w:rPr>
          <w:rFonts w:hint="eastAsia" w:ascii="仿宋" w:hAnsi="仿宋" w:eastAsia="仿宋" w:cs="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.3</w:t>
      </w:r>
      <w:r>
        <w:rPr>
          <w:rFonts w:hint="eastAsia" w:ascii="仿宋" w:hAnsi="仿宋" w:eastAsia="仿宋" w:cs="仿宋"/>
          <w:color w:val="auto"/>
          <w:sz w:val="24"/>
        </w:rPr>
        <w:t>成交供应商不能及时领取成交通知书，采购人或者采购代理机</w:t>
      </w:r>
      <w:r>
        <w:rPr>
          <w:rFonts w:hint="eastAsia" w:ascii="仿宋" w:hAnsi="仿宋" w:eastAsia="仿宋" w:cs="仿宋"/>
          <w:color w:val="auto"/>
          <w:sz w:val="24"/>
          <w:lang w:eastAsia="zh-CN"/>
        </w:rPr>
        <w:t>构</w:t>
      </w:r>
      <w:r>
        <w:rPr>
          <w:rFonts w:hint="eastAsia" w:ascii="仿宋" w:hAnsi="仿宋" w:eastAsia="仿宋" w:cs="仿宋"/>
          <w:color w:val="auto"/>
          <w:sz w:val="24"/>
        </w:rPr>
        <w:t>应当通过邮寄、快递等方式将项目成交通知书送达成交供应商。</w:t>
      </w:r>
    </w:p>
    <w:p w14:paraId="41C8DDFD">
      <w:pPr>
        <w:spacing w:line="360" w:lineRule="auto"/>
        <w:ind w:firstLine="480"/>
        <w:rPr>
          <w:rFonts w:hint="eastAsia" w:ascii="仿宋" w:hAnsi="仿宋" w:eastAsia="仿宋" w:cs="仿宋"/>
          <w:bCs/>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w:t>
      </w:r>
      <w:r>
        <w:rPr>
          <w:rFonts w:hint="eastAsia" w:ascii="仿宋" w:hAnsi="仿宋" w:eastAsia="仿宋" w:cs="仿宋"/>
          <w:color w:val="auto"/>
          <w:sz w:val="24"/>
        </w:rPr>
        <w:t>4</w:t>
      </w:r>
      <w:r>
        <w:rPr>
          <w:rFonts w:hint="eastAsia" w:ascii="仿宋" w:hAnsi="仿宋" w:eastAsia="仿宋" w:cs="仿宋"/>
          <w:bCs/>
          <w:color w:val="auto"/>
          <w:sz w:val="24"/>
        </w:rPr>
        <w:t>采购单位不解释成交或</w:t>
      </w:r>
      <w:r>
        <w:rPr>
          <w:rFonts w:hint="eastAsia" w:ascii="仿宋" w:hAnsi="仿宋" w:eastAsia="仿宋" w:cs="仿宋"/>
          <w:bCs/>
          <w:color w:val="auto"/>
          <w:sz w:val="24"/>
          <w:lang w:eastAsia="zh-CN"/>
        </w:rPr>
        <w:t>未成交</w:t>
      </w:r>
      <w:r>
        <w:rPr>
          <w:rFonts w:hint="eastAsia" w:ascii="仿宋" w:hAnsi="仿宋" w:eastAsia="仿宋" w:cs="仿宋"/>
          <w:bCs/>
          <w:color w:val="auto"/>
          <w:sz w:val="24"/>
        </w:rPr>
        <w:t>原因，不退回响应文件和其他响应资料。</w:t>
      </w:r>
    </w:p>
    <w:p w14:paraId="7C63923B">
      <w:pPr>
        <w:spacing w:line="360" w:lineRule="auto"/>
        <w:ind w:firstLine="480"/>
        <w:rPr>
          <w:rFonts w:hint="eastAsia" w:ascii="仿宋" w:hAnsi="仿宋" w:eastAsia="仿宋" w:cs="仿宋"/>
          <w:color w:val="auto"/>
          <w:sz w:val="24"/>
        </w:rPr>
      </w:pPr>
    </w:p>
    <w:p w14:paraId="1F493081">
      <w:pPr>
        <w:keepNext w:val="0"/>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成交通知书</w:t>
      </w:r>
    </w:p>
    <w:p w14:paraId="32DD95FE">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.1</w:t>
      </w:r>
      <w:r>
        <w:rPr>
          <w:rFonts w:hint="eastAsia" w:ascii="仿宋" w:hAnsi="仿宋" w:eastAsia="仿宋" w:cs="仿宋"/>
          <w:b w:val="0"/>
          <w:color w:val="auto"/>
          <w:sz w:val="24"/>
        </w:rPr>
        <w:t>成交通知书为签订采购合同的依据之一，是合同的有效组成部分。</w:t>
      </w:r>
    </w:p>
    <w:p w14:paraId="5CCAE503">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.2</w:t>
      </w:r>
      <w:r>
        <w:rPr>
          <w:rFonts w:hint="eastAsia" w:ascii="仿宋" w:hAnsi="仿宋" w:eastAsia="仿宋" w:cs="仿宋"/>
          <w:b w:val="0"/>
          <w:color w:val="auto"/>
          <w:sz w:val="24"/>
        </w:rPr>
        <w:t>成交通知书对采购人和成交供应商均具有法律效力。成交通知书发出后，采购人无正当理由改变成交结果，或者成交供应商无正当理由放弃成交的，将承担相应的法律责任。</w:t>
      </w:r>
    </w:p>
    <w:p w14:paraId="516A32E1">
      <w:pPr>
        <w:keepNext w:val="0"/>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lang w:val="en-US" w:eastAsia="zh-CN"/>
        </w:rPr>
        <w:t>18</w:t>
      </w:r>
      <w:r>
        <w:rPr>
          <w:rFonts w:hint="eastAsia" w:ascii="仿宋" w:hAnsi="仿宋" w:eastAsia="仿宋" w:cs="仿宋"/>
          <w:b w:val="0"/>
          <w:bCs/>
          <w:color w:val="auto"/>
          <w:sz w:val="24"/>
        </w:rPr>
        <w:t>.3成交供应商的响应文件作为无效响应文件处理或者有政府采购法律法规规章制度规定的成交无效情形的，采购人</w:t>
      </w:r>
      <w:r>
        <w:rPr>
          <w:rFonts w:hint="eastAsia" w:ascii="仿宋" w:hAnsi="仿宋" w:eastAsia="仿宋" w:cs="仿宋"/>
          <w:b w:val="0"/>
          <w:bCs/>
          <w:color w:val="auto"/>
          <w:sz w:val="24"/>
          <w:lang w:eastAsia="zh-CN"/>
        </w:rPr>
        <w:t>或</w:t>
      </w:r>
      <w:r>
        <w:rPr>
          <w:rFonts w:hint="eastAsia" w:ascii="仿宋" w:hAnsi="仿宋" w:eastAsia="仿宋" w:cs="仿宋"/>
          <w:b w:val="0"/>
          <w:bCs/>
          <w:color w:val="auto"/>
          <w:sz w:val="24"/>
        </w:rPr>
        <w:t>采购代理机构在取得有权主体的认定以后，有权宣布发出的成交通知书无效，并收回发出的成交通知书，依法重新确定成交供应商或者重新开展采购活动。</w:t>
      </w:r>
    </w:p>
    <w:p w14:paraId="6995427D">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七、合同事项</w:t>
      </w:r>
    </w:p>
    <w:p w14:paraId="7C52359A">
      <w:pPr>
        <w:spacing w:line="360" w:lineRule="auto"/>
        <w:rPr>
          <w:rFonts w:ascii="仿宋" w:hAnsi="仿宋" w:eastAsia="仿宋" w:cs="仿宋"/>
          <w:b/>
          <w:color w:val="auto"/>
          <w:sz w:val="24"/>
        </w:rPr>
      </w:pPr>
      <w:r>
        <w:rPr>
          <w:rFonts w:hint="eastAsia" w:ascii="仿宋" w:hAnsi="仿宋" w:eastAsia="仿宋" w:cs="仿宋"/>
          <w:b/>
          <w:color w:val="auto"/>
          <w:sz w:val="24"/>
          <w:lang w:val="en-US" w:eastAsia="zh-CN"/>
        </w:rPr>
        <w:t>19.</w:t>
      </w:r>
      <w:r>
        <w:rPr>
          <w:rFonts w:hint="eastAsia" w:ascii="仿宋" w:hAnsi="仿宋" w:eastAsia="仿宋" w:cs="仿宋"/>
          <w:b/>
          <w:color w:val="auto"/>
          <w:sz w:val="24"/>
        </w:rPr>
        <w:t>签订合同</w:t>
      </w:r>
    </w:p>
    <w:p w14:paraId="420207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.1成交供应商在收到成交通知书后，应在规定的时间内与采购人签订采购合同。由于成交供应商的原因逾期未与采购人签订采购合同的，将视为放弃成交，取消其成交资格并将按相关规定进行处理；</w:t>
      </w:r>
    </w:p>
    <w:p w14:paraId="071703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.2采购人不得向成交供应商提出任何不合理的要求，作为签订合同的条件，不得与成交供应商私下订立背离合同实质性内容的任何协议，所签订的合同不得对竞争性谈判文件和成交供应商响应文件作实质性修改；</w:t>
      </w:r>
    </w:p>
    <w:p w14:paraId="097CBA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.3成交供应商因不可抗力原因不能履行采购合同或放弃成交的，采购人可以与排在成交供应商之后第一位的成交候选人签订采购合同，以此类推；</w:t>
      </w:r>
    </w:p>
    <w:p w14:paraId="795770A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4在签订合同前，采购人有权对成交人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14:paraId="4AF8CAB3">
      <w:pPr>
        <w:spacing w:line="360" w:lineRule="auto"/>
        <w:ind w:firstLine="482"/>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.5成交供应商在合同签订之后3个工作日内，</w:t>
      </w:r>
      <w:r>
        <w:rPr>
          <w:rFonts w:hint="eastAsia" w:ascii="仿宋" w:hAnsi="仿宋" w:eastAsia="仿宋" w:cs="仿宋"/>
          <w:color w:val="auto"/>
          <w:sz w:val="24"/>
        </w:rPr>
        <w:t>将签订的合同送采购代理机构进行合同编号。</w:t>
      </w:r>
      <w:r>
        <w:rPr>
          <w:rFonts w:hint="eastAsia" w:ascii="仿宋" w:hAnsi="仿宋" w:eastAsia="仿宋" w:cs="仿宋"/>
          <w:bCs/>
          <w:color w:val="auto"/>
          <w:sz w:val="24"/>
        </w:rPr>
        <w:t>将签订的合同1份送采购代理机构备案。</w:t>
      </w:r>
    </w:p>
    <w:p w14:paraId="528E760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.6竞争性谈判文件、成交供应商提交的响应文件、谈判中的最后报价、成交供应商承诺书、成交通知书等均称为有法律约束力的合同组成内容。</w:t>
      </w:r>
    </w:p>
    <w:p w14:paraId="36AEFD34">
      <w:pPr>
        <w:spacing w:line="360" w:lineRule="auto"/>
        <w:ind w:firstLine="482" w:firstLineChars="200"/>
        <w:rPr>
          <w:rFonts w:hint="eastAsia" w:ascii="仿宋" w:hAnsi="仿宋" w:eastAsia="仿宋" w:cs="仿宋"/>
          <w:b/>
          <w:color w:val="auto"/>
          <w:sz w:val="24"/>
          <w:lang w:val="en-US" w:eastAsia="zh-CN"/>
        </w:rPr>
      </w:pPr>
    </w:p>
    <w:p w14:paraId="74932BBE">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20.</w:t>
      </w:r>
      <w:r>
        <w:rPr>
          <w:rFonts w:hint="eastAsia" w:ascii="仿宋" w:hAnsi="仿宋" w:eastAsia="仿宋" w:cs="仿宋"/>
          <w:b/>
          <w:color w:val="auto"/>
          <w:sz w:val="24"/>
        </w:rPr>
        <w:t>合同分包（实质性要求）</w:t>
      </w:r>
    </w:p>
    <w:p w14:paraId="232D4E9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20.1</w:t>
      </w:r>
      <w:r>
        <w:rPr>
          <w:rFonts w:hint="eastAsia" w:ascii="仿宋" w:hAnsi="仿宋" w:eastAsia="仿宋" w:cs="仿宋"/>
          <w:color w:val="auto"/>
          <w:sz w:val="24"/>
          <w:szCs w:val="24"/>
          <w:highlight w:val="none"/>
        </w:rPr>
        <w:t>本项目合同接受分包与否，以“供应商须知附表”</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为准。</w:t>
      </w:r>
    </w:p>
    <w:p w14:paraId="09A85D67">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20.2允许分包的，</w:t>
      </w:r>
      <w:r>
        <w:rPr>
          <w:rFonts w:hint="eastAsia" w:ascii="仿宋" w:hAnsi="仿宋" w:eastAsia="仿宋" w:cs="仿宋"/>
          <w:color w:val="auto"/>
          <w:sz w:val="24"/>
          <w:szCs w:val="24"/>
          <w:lang w:val="en-US" w:eastAsia="zh-CN"/>
        </w:rPr>
        <w:t>经采购人同意，成交供应商可以</w:t>
      </w:r>
      <w:r>
        <w:rPr>
          <w:rFonts w:hint="eastAsia" w:ascii="仿宋" w:hAnsi="仿宋" w:eastAsia="仿宋" w:cs="仿宋"/>
          <w:color w:val="auto"/>
          <w:sz w:val="24"/>
        </w:rPr>
        <w:t>将非主体、非关键性工作</w:t>
      </w:r>
      <w:r>
        <w:rPr>
          <w:rFonts w:hint="eastAsia" w:ascii="仿宋" w:hAnsi="仿宋" w:eastAsia="仿宋" w:cs="仿宋"/>
          <w:color w:val="auto"/>
          <w:sz w:val="24"/>
          <w:szCs w:val="24"/>
          <w:lang w:val="en-US" w:eastAsia="zh-CN"/>
        </w:rPr>
        <w:t>依法采取分包方式履行合同，但必须在响应文件中事前载明。这种要求应当在合同签订之前征得采购人同意，并且分包供应商履行的分包项目的品牌、规格型号及技术要求等，必须与成交的一致</w:t>
      </w:r>
      <w:r>
        <w:rPr>
          <w:rFonts w:hint="eastAsia" w:ascii="仿宋" w:hAnsi="仿宋" w:eastAsia="仿宋" w:cs="仿宋"/>
          <w:color w:val="auto"/>
          <w:sz w:val="24"/>
          <w:lang w:eastAsia="zh-CN"/>
        </w:rPr>
        <w:t>；</w:t>
      </w:r>
      <w:r>
        <w:rPr>
          <w:rFonts w:hint="eastAsia" w:ascii="仿宋" w:hAnsi="仿宋" w:eastAsia="仿宋" w:cs="仿宋"/>
          <w:color w:val="auto"/>
          <w:sz w:val="24"/>
        </w:rPr>
        <w:t>未经采购人同意，成交供应商不得分包</w:t>
      </w:r>
      <w:r>
        <w:rPr>
          <w:rFonts w:hint="eastAsia" w:ascii="仿宋" w:hAnsi="仿宋" w:eastAsia="仿宋" w:cs="仿宋"/>
          <w:color w:val="auto"/>
          <w:sz w:val="24"/>
          <w:lang w:eastAsia="zh-CN"/>
        </w:rPr>
        <w:t>。</w:t>
      </w:r>
    </w:p>
    <w:p w14:paraId="5E1F443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20.3</w:t>
      </w:r>
      <w:r>
        <w:rPr>
          <w:rFonts w:hint="eastAsia" w:ascii="仿宋" w:hAnsi="仿宋" w:eastAsia="仿宋" w:cs="仿宋"/>
          <w:color w:val="auto"/>
          <w:sz w:val="24"/>
        </w:rPr>
        <w:t>采购合同分包履行的，成交供应商就采购项目和分包项目向采购人负责，分包供应商就分包项目承担责任。</w:t>
      </w:r>
    </w:p>
    <w:p w14:paraId="689194B0">
      <w:pPr>
        <w:spacing w:line="360" w:lineRule="auto"/>
        <w:rPr>
          <w:rFonts w:hint="eastAsia" w:ascii="仿宋" w:hAnsi="仿宋" w:eastAsia="仿宋" w:cs="仿宋"/>
          <w:b/>
          <w:color w:val="auto"/>
          <w:sz w:val="24"/>
          <w:lang w:val="en-US" w:eastAsia="zh-CN"/>
        </w:rPr>
      </w:pPr>
    </w:p>
    <w:p w14:paraId="0A005987">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21.</w:t>
      </w:r>
      <w:r>
        <w:rPr>
          <w:rFonts w:hint="eastAsia" w:ascii="仿宋" w:hAnsi="仿宋" w:eastAsia="仿宋" w:cs="仿宋"/>
          <w:b/>
          <w:color w:val="auto"/>
          <w:sz w:val="24"/>
        </w:rPr>
        <w:t>合同转包（实质性要求）</w:t>
      </w:r>
    </w:p>
    <w:p w14:paraId="4B191E81">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21.1</w:t>
      </w:r>
      <w:r>
        <w:rPr>
          <w:rFonts w:hint="eastAsia" w:ascii="仿宋" w:hAnsi="仿宋" w:eastAsia="仿宋" w:cs="仿宋"/>
          <w:bCs/>
          <w:color w:val="auto"/>
          <w:sz w:val="24"/>
        </w:rPr>
        <w:t>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14:paraId="29D2C210">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21.2</w:t>
      </w:r>
      <w:r>
        <w:rPr>
          <w:rFonts w:hint="eastAsia" w:ascii="仿宋" w:hAnsi="仿宋" w:eastAsia="仿宋" w:cs="仿宋"/>
          <w:bCs/>
          <w:color w:val="auto"/>
          <w:sz w:val="24"/>
        </w:rPr>
        <w:t>成交供应商转包的，视同拒绝履行采购合同义务，将依法追究法律责任。</w:t>
      </w:r>
    </w:p>
    <w:p w14:paraId="229A15F8">
      <w:pPr>
        <w:spacing w:line="360" w:lineRule="auto"/>
        <w:ind w:firstLine="480"/>
        <w:rPr>
          <w:rFonts w:hint="eastAsia" w:ascii="仿宋" w:hAnsi="仿宋" w:eastAsia="仿宋" w:cs="仿宋"/>
          <w:color w:val="auto"/>
        </w:rPr>
      </w:pPr>
    </w:p>
    <w:p w14:paraId="21579CC8">
      <w:pPr>
        <w:spacing w:line="360" w:lineRule="auto"/>
        <w:ind w:firstLine="482" w:firstLineChars="200"/>
        <w:rPr>
          <w:rFonts w:ascii="仿宋" w:hAnsi="仿宋" w:eastAsia="仿宋" w:cs="仿宋"/>
          <w:b/>
          <w:color w:val="auto"/>
          <w:sz w:val="24"/>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rPr>
        <w:t>补充合同</w:t>
      </w:r>
    </w:p>
    <w:p w14:paraId="249ED441">
      <w:pPr>
        <w:spacing w:line="360" w:lineRule="auto"/>
        <w:ind w:firstLine="492"/>
        <w:jc w:val="both"/>
        <w:rPr>
          <w:rFonts w:hint="eastAsia" w:ascii="仿宋" w:hAnsi="仿宋" w:eastAsia="仿宋" w:cs="仿宋"/>
          <w:bCs/>
          <w:color w:val="auto"/>
          <w:sz w:val="24"/>
        </w:rPr>
      </w:pPr>
      <w:r>
        <w:rPr>
          <w:rFonts w:hint="eastAsia" w:ascii="仿宋" w:hAnsi="仿宋" w:eastAsia="仿宋" w:cs="仿宋"/>
          <w:bCs/>
          <w:color w:val="auto"/>
          <w:sz w:val="24"/>
        </w:rPr>
        <w:t>采购合同履行过程中，采购人需要追加与合同标的相同的货物或者服务的，在不改变合同其他条款的前提下，可以与</w:t>
      </w:r>
      <w:r>
        <w:rPr>
          <w:rFonts w:hint="eastAsia" w:ascii="仿宋" w:hAnsi="仿宋" w:eastAsia="仿宋" w:cs="仿宋"/>
          <w:bCs/>
          <w:color w:val="auto"/>
          <w:sz w:val="24"/>
          <w:lang w:eastAsia="zh-CN"/>
        </w:rPr>
        <w:t>成交</w:t>
      </w:r>
      <w:r>
        <w:rPr>
          <w:rFonts w:hint="eastAsia" w:ascii="仿宋" w:hAnsi="仿宋" w:eastAsia="仿宋" w:cs="仿宋"/>
          <w:bCs/>
          <w:color w:val="auto"/>
          <w:sz w:val="24"/>
        </w:rPr>
        <w:t>供应商协商签订补充合同，</w:t>
      </w:r>
      <w:r>
        <w:rPr>
          <w:rFonts w:hint="eastAsia" w:ascii="仿宋" w:hAnsi="仿宋" w:eastAsia="仿宋" w:cs="仿宋"/>
          <w:color w:val="auto"/>
          <w:sz w:val="24"/>
          <w:szCs w:val="24"/>
          <w:highlight w:val="none"/>
        </w:rPr>
        <w:t>但所有补充合同的采购金额不得超过原合同采购金额的</w:t>
      </w:r>
      <w:r>
        <w:rPr>
          <w:rFonts w:hint="eastAsia" w:ascii="仿宋" w:hAnsi="仿宋" w:eastAsia="仿宋" w:cs="仿宋"/>
          <w:bCs/>
          <w:color w:val="auto"/>
          <w:sz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rPr>
        <w:t>该补充合同应当在原采购合同履行过程中，不得在原采购合同履行结束后，且采购货物、工程和服务的名称、价格、履约方式、验收标准等必须与原采购合同一致。</w:t>
      </w:r>
    </w:p>
    <w:p w14:paraId="7D7CE8CD">
      <w:pPr>
        <w:spacing w:line="360" w:lineRule="auto"/>
        <w:ind w:firstLine="492"/>
        <w:jc w:val="both"/>
        <w:rPr>
          <w:rFonts w:hint="eastAsia" w:ascii="仿宋" w:hAnsi="仿宋" w:eastAsia="仿宋" w:cs="仿宋"/>
          <w:color w:val="auto"/>
        </w:rPr>
      </w:pPr>
    </w:p>
    <w:p w14:paraId="73F8FD52">
      <w:pPr>
        <w:spacing w:line="360" w:lineRule="auto"/>
        <w:ind w:firstLine="482" w:firstLineChars="200"/>
        <w:rPr>
          <w:rFonts w:hint="eastAsia" w:ascii="仿宋" w:hAnsi="仿宋" w:eastAsia="仿宋" w:cs="仿宋"/>
          <w:bCs/>
          <w:color w:val="auto"/>
          <w:sz w:val="24"/>
          <w:lang w:eastAsia="zh-CN"/>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3.</w:t>
      </w:r>
      <w:r>
        <w:rPr>
          <w:rFonts w:hint="eastAsia" w:ascii="仿宋" w:hAnsi="仿宋" w:eastAsia="仿宋" w:cs="仿宋"/>
          <w:b/>
          <w:color w:val="auto"/>
          <w:sz w:val="24"/>
        </w:rPr>
        <w:t>履约保证金</w:t>
      </w:r>
      <w:r>
        <w:rPr>
          <w:rFonts w:hint="eastAsia" w:ascii="仿宋" w:hAnsi="仿宋" w:eastAsia="仿宋" w:cs="仿宋"/>
          <w:b/>
          <w:color w:val="auto"/>
          <w:sz w:val="24"/>
          <w:lang w:eastAsia="zh-CN"/>
        </w:rPr>
        <w:t>（实质性要求）</w:t>
      </w:r>
    </w:p>
    <w:p w14:paraId="63A8A214">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.1</w:t>
      </w:r>
      <w:r>
        <w:rPr>
          <w:rFonts w:hint="eastAsia" w:ascii="仿宋" w:hAnsi="仿宋" w:eastAsia="仿宋" w:cs="仿宋"/>
          <w:color w:val="auto"/>
          <w:sz w:val="24"/>
        </w:rPr>
        <w:t>成交供应商应在合同签订之前交纳竞争性谈判文件规定数额的履约保证金。</w:t>
      </w:r>
    </w:p>
    <w:p w14:paraId="1AC2D6D3">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.2</w:t>
      </w:r>
      <w:r>
        <w:rPr>
          <w:rFonts w:hint="eastAsia" w:ascii="仿宋" w:hAnsi="仿宋" w:eastAsia="仿宋" w:cs="仿宋"/>
          <w:color w:val="auto"/>
          <w:sz w:val="24"/>
        </w:rPr>
        <w:t>如果成交供应商在规定的合同签订时间内，没有按照采购文件的规定交纳履约保证金，且又无正当理由的，将视为放弃成交。</w:t>
      </w:r>
    </w:p>
    <w:p w14:paraId="5B48FAC1">
      <w:pPr>
        <w:spacing w:line="360"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23.3</w:t>
      </w:r>
      <w:r>
        <w:rPr>
          <w:rFonts w:hint="eastAsia" w:ascii="仿宋" w:hAnsi="仿宋" w:eastAsia="仿宋" w:cs="仿宋"/>
          <w:bCs/>
          <w:color w:val="auto"/>
          <w:sz w:val="24"/>
          <w:highlight w:val="none"/>
        </w:rPr>
        <w:t>成交</w:t>
      </w:r>
      <w:r>
        <w:rPr>
          <w:rFonts w:hint="eastAsia" w:ascii="仿宋" w:hAnsi="仿宋" w:eastAsia="仿宋" w:cs="仿宋"/>
          <w:bCs/>
          <w:color w:val="auto"/>
          <w:sz w:val="24"/>
          <w:highlight w:val="none"/>
          <w:lang w:eastAsia="zh-CN"/>
        </w:rPr>
        <w:t>供应商</w:t>
      </w:r>
      <w:r>
        <w:rPr>
          <w:rFonts w:hint="eastAsia" w:ascii="仿宋" w:hAnsi="仿宋" w:eastAsia="仿宋" w:cs="仿宋"/>
          <w:bCs/>
          <w:color w:val="auto"/>
          <w:sz w:val="24"/>
          <w:highlight w:val="none"/>
          <w:lang w:val="en-US" w:eastAsia="zh-CN"/>
        </w:rPr>
        <w:t>自行选择以支票、汇票、本票或者金融机构、担保机构出具的保函等非现金形式缴纳履约保证金。</w:t>
      </w:r>
    </w:p>
    <w:p w14:paraId="33915093">
      <w:pPr>
        <w:pStyle w:val="2"/>
        <w:spacing w:line="360" w:lineRule="auto"/>
        <w:ind w:firstLine="360" w:firstLineChars="200"/>
        <w:rPr>
          <w:rFonts w:hint="eastAsia" w:ascii="仿宋" w:hAnsi="仿宋" w:eastAsia="仿宋" w:cs="仿宋"/>
          <w:color w:val="auto"/>
        </w:rPr>
      </w:pPr>
    </w:p>
    <w:p w14:paraId="2CE23D7C">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履行合同</w:t>
      </w:r>
    </w:p>
    <w:p w14:paraId="5D50C3F3">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.1成交</w:t>
      </w:r>
      <w:r>
        <w:rPr>
          <w:rFonts w:hint="eastAsia" w:ascii="仿宋" w:hAnsi="仿宋" w:eastAsia="仿宋" w:cs="仿宋"/>
          <w:bCs/>
          <w:color w:val="auto"/>
          <w:sz w:val="24"/>
          <w:lang w:eastAsia="zh-CN"/>
        </w:rPr>
        <w:t>供应</w:t>
      </w:r>
      <w:r>
        <w:rPr>
          <w:rFonts w:hint="eastAsia" w:ascii="仿宋" w:hAnsi="仿宋" w:eastAsia="仿宋" w:cs="仿宋"/>
          <w:color w:val="auto"/>
          <w:sz w:val="24"/>
          <w:lang w:eastAsia="zh-CN"/>
        </w:rPr>
        <w:t>商</w:t>
      </w:r>
      <w:r>
        <w:rPr>
          <w:rFonts w:hint="eastAsia" w:ascii="仿宋" w:hAnsi="仿宋" w:eastAsia="仿宋" w:cs="仿宋"/>
          <w:color w:val="auto"/>
          <w:sz w:val="24"/>
        </w:rPr>
        <w:t>与采购</w:t>
      </w:r>
      <w:r>
        <w:rPr>
          <w:rFonts w:hint="eastAsia" w:ascii="仿宋" w:hAnsi="仿宋" w:eastAsia="仿宋" w:cs="仿宋"/>
          <w:bCs/>
          <w:color w:val="auto"/>
          <w:sz w:val="24"/>
        </w:rPr>
        <w:t>人签订合同后，合同双方应严格执行合同条款，履行合同规定的义务，保证合同的顺利完成；</w:t>
      </w:r>
    </w:p>
    <w:p w14:paraId="4BB990FF">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.2在合同履行过程中，如发生合同纠纷，合同双方应按照《</w:t>
      </w:r>
      <w:r>
        <w:rPr>
          <w:rFonts w:hint="eastAsia" w:ascii="仿宋" w:hAnsi="仿宋" w:eastAsia="仿宋" w:cs="仿宋"/>
          <w:bCs/>
          <w:color w:val="auto"/>
          <w:sz w:val="24"/>
          <w:szCs w:val="24"/>
          <w:lang w:val="zh-CN"/>
        </w:rPr>
        <w:t>中华人民共和国</w:t>
      </w:r>
      <w:r>
        <w:rPr>
          <w:rFonts w:hint="eastAsia" w:ascii="仿宋" w:hAnsi="仿宋" w:eastAsia="仿宋" w:cs="仿宋"/>
          <w:bCs/>
          <w:color w:val="auto"/>
          <w:sz w:val="24"/>
        </w:rPr>
        <w:t>民法典》的有关规定进行处理。</w:t>
      </w:r>
    </w:p>
    <w:p w14:paraId="412FAB9A">
      <w:pPr>
        <w:spacing w:line="360" w:lineRule="auto"/>
        <w:ind w:firstLine="482"/>
        <w:rPr>
          <w:rFonts w:hint="eastAsia" w:ascii="仿宋" w:hAnsi="仿宋" w:eastAsia="仿宋" w:cs="仿宋"/>
          <w:color w:val="auto"/>
        </w:rPr>
      </w:pPr>
    </w:p>
    <w:p w14:paraId="098B6953">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lang w:val="en-US" w:eastAsia="zh-CN"/>
        </w:rPr>
        <w:t>25.</w:t>
      </w:r>
      <w:r>
        <w:rPr>
          <w:rFonts w:hint="eastAsia" w:ascii="仿宋" w:hAnsi="仿宋" w:eastAsia="仿宋" w:cs="仿宋"/>
          <w:b/>
          <w:color w:val="auto"/>
          <w:sz w:val="24"/>
        </w:rPr>
        <w:t>验收</w:t>
      </w:r>
    </w:p>
    <w:p w14:paraId="569DFBEB">
      <w:pPr>
        <w:spacing w:line="360" w:lineRule="auto"/>
        <w:ind w:firstLine="491"/>
        <w:rPr>
          <w:rFonts w:ascii="仿宋" w:hAnsi="仿宋" w:eastAsia="仿宋" w:cs="仿宋"/>
          <w:color w:val="auto"/>
          <w:sz w:val="24"/>
        </w:rPr>
      </w:pPr>
      <w:r>
        <w:rPr>
          <w:rFonts w:hint="eastAsia" w:ascii="仿宋" w:hAnsi="仿宋" w:eastAsia="仿宋" w:cs="仿宋"/>
          <w:color w:val="auto"/>
          <w:spacing w:val="0"/>
          <w:w w:val="100"/>
          <w:position w:val="0"/>
          <w:sz w:val="24"/>
          <w:szCs w:val="24"/>
          <w:highlight w:val="none"/>
          <w:shd w:val="clear" w:color="auto" w:fill="auto"/>
          <w:lang w:val="en-US" w:eastAsia="zh-CN"/>
        </w:rPr>
        <w:t>25.1本项目采购人将严格参照《财政部关于进一步加强政府采购需求和履约验收管理的指导意见》(财库〔2016〕205号)和采购人相关要求进行验收。</w:t>
      </w:r>
    </w:p>
    <w:p w14:paraId="7F63C702">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26.</w:t>
      </w:r>
      <w:r>
        <w:rPr>
          <w:rFonts w:hint="eastAsia" w:ascii="仿宋" w:hAnsi="仿宋" w:eastAsia="仿宋" w:cs="仿宋"/>
          <w:b/>
          <w:color w:val="auto"/>
          <w:sz w:val="24"/>
        </w:rPr>
        <w:t>资金支付</w:t>
      </w:r>
    </w:p>
    <w:p w14:paraId="11F814F8">
      <w:pPr>
        <w:spacing w:line="360" w:lineRule="auto"/>
        <w:ind w:firstLine="491"/>
        <w:rPr>
          <w:rFonts w:hint="eastAsia" w:ascii="仿宋" w:hAnsi="仿宋" w:eastAsia="仿宋" w:cs="仿宋"/>
          <w:bCs/>
          <w:color w:val="auto"/>
          <w:sz w:val="24"/>
        </w:rPr>
      </w:pPr>
      <w:r>
        <w:rPr>
          <w:rFonts w:hint="eastAsia" w:ascii="仿宋" w:hAnsi="仿宋" w:eastAsia="仿宋" w:cs="仿宋"/>
          <w:bCs/>
          <w:color w:val="auto"/>
          <w:sz w:val="24"/>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14:paraId="4D57FE54">
      <w:pPr>
        <w:spacing w:before="313" w:beforeLines="100" w:after="313" w:afterLines="100" w:line="360" w:lineRule="auto"/>
        <w:jc w:val="center"/>
        <w:outlineLvl w:val="1"/>
        <w:rPr>
          <w:rFonts w:ascii="仿宋" w:hAnsi="仿宋" w:eastAsia="仿宋" w:cs="仿宋"/>
          <w:b/>
          <w:color w:val="auto"/>
          <w:sz w:val="28"/>
          <w:szCs w:val="28"/>
        </w:rPr>
      </w:pPr>
      <w:r>
        <w:rPr>
          <w:rFonts w:hint="eastAsia" w:ascii="仿宋" w:hAnsi="仿宋" w:eastAsia="仿宋" w:cs="仿宋"/>
          <w:b/>
          <w:color w:val="auto"/>
          <w:sz w:val="30"/>
          <w:szCs w:val="30"/>
        </w:rPr>
        <w:t>八、采购纪律要求</w:t>
      </w:r>
    </w:p>
    <w:p w14:paraId="395CED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lang w:val="en-US" w:eastAsia="zh-CN"/>
        </w:rPr>
        <w:t>27.</w:t>
      </w:r>
      <w:r>
        <w:rPr>
          <w:rFonts w:hint="eastAsia" w:ascii="仿宋" w:hAnsi="仿宋" w:eastAsia="仿宋" w:cs="仿宋"/>
          <w:b/>
          <w:color w:val="auto"/>
          <w:sz w:val="24"/>
        </w:rPr>
        <w:t>供应商不得具有的情形</w:t>
      </w:r>
    </w:p>
    <w:p w14:paraId="0E2746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供应商参加本项目采购不得有下列情形：</w:t>
      </w:r>
    </w:p>
    <w:p w14:paraId="55120C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（1）提供虚假材料谋取成交；</w:t>
      </w:r>
    </w:p>
    <w:p w14:paraId="0DFFD6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（2）采取不正当手段诋毁、排挤其他供应商；</w:t>
      </w:r>
    </w:p>
    <w:p w14:paraId="6C6246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（3）与采购单位、其他供应商恶意串通；</w:t>
      </w:r>
    </w:p>
    <w:p w14:paraId="05ACF8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（4）向采购单位、评审委员会成员行贿或者提供其他不正当利益；</w:t>
      </w:r>
    </w:p>
    <w:p w14:paraId="1420C6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（5）在采购过程中与采购单位进行协商谈判；</w:t>
      </w:r>
    </w:p>
    <w:p w14:paraId="733BC7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（6）成交或者成交后无正当理由拒不与采购人签订采购合同；</w:t>
      </w:r>
    </w:p>
    <w:p w14:paraId="216384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（7）未按照竞争性谈判文件确定的事项签订采购合同；</w:t>
      </w:r>
    </w:p>
    <w:p w14:paraId="633C86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（8）将采购合同转包或者违规分包；</w:t>
      </w:r>
    </w:p>
    <w:p w14:paraId="3F039B6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（9）提供假冒伪劣产品；</w:t>
      </w:r>
    </w:p>
    <w:p w14:paraId="074A1C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（10）擅自变更、中止或者终止采购合同；</w:t>
      </w:r>
    </w:p>
    <w:p w14:paraId="0FB498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（11）拒绝有关部门的监督检查或者向监督检查部门提供虚假情况；</w:t>
      </w:r>
    </w:p>
    <w:p w14:paraId="252EA33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（12）法律法规规定的其他情形。</w:t>
      </w:r>
    </w:p>
    <w:p w14:paraId="1ED8BE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供应商有上述情形的，按照规定追究法律责任，具备（1）-（10）条情形之一的，同时将取消成交资格或者认定成交无效。</w:t>
      </w:r>
    </w:p>
    <w:p w14:paraId="63399BE7">
      <w:pPr>
        <w:spacing w:line="360" w:lineRule="auto"/>
        <w:ind w:firstLine="482" w:firstLineChars="200"/>
        <w:outlineLvl w:val="9"/>
        <w:rPr>
          <w:rFonts w:hint="eastAsia" w:ascii="仿宋" w:hAnsi="仿宋" w:eastAsia="仿宋" w:cs="仿宋"/>
          <w:b/>
          <w:bCs w:val="0"/>
          <w:color w:val="auto"/>
          <w:sz w:val="24"/>
        </w:rPr>
      </w:pPr>
    </w:p>
    <w:p w14:paraId="31ABD8D1">
      <w:pPr>
        <w:spacing w:line="360" w:lineRule="auto"/>
        <w:ind w:firstLine="482" w:firstLineChars="200"/>
        <w:outlineLvl w:val="9"/>
        <w:rPr>
          <w:rFonts w:hint="eastAsia" w:ascii="仿宋" w:hAnsi="仿宋" w:eastAsia="仿宋" w:cs="仿宋"/>
          <w:b/>
          <w:bCs w:val="0"/>
          <w:color w:val="auto"/>
          <w:sz w:val="24"/>
        </w:rPr>
      </w:pPr>
      <w:r>
        <w:rPr>
          <w:rFonts w:hint="eastAsia" w:ascii="仿宋" w:hAnsi="仿宋" w:eastAsia="仿宋" w:cs="仿宋"/>
          <w:b/>
          <w:bCs w:val="0"/>
          <w:color w:val="auto"/>
          <w:sz w:val="24"/>
        </w:rPr>
        <w:t>2</w:t>
      </w: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保密</w:t>
      </w:r>
    </w:p>
    <w:p w14:paraId="1E83DEC9">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28.1</w:t>
      </w:r>
      <w:r>
        <w:rPr>
          <w:rFonts w:hint="eastAsia" w:ascii="仿宋" w:hAnsi="仿宋" w:eastAsia="仿宋" w:cs="仿宋"/>
          <w:bCs/>
          <w:color w:val="auto"/>
          <w:sz w:val="24"/>
        </w:rPr>
        <w:t>不得透露有关购买</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文件的潜在供应商的任何情况。</w:t>
      </w:r>
    </w:p>
    <w:p w14:paraId="34087439">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28.2</w:t>
      </w:r>
      <w:r>
        <w:rPr>
          <w:rFonts w:hint="eastAsia" w:ascii="仿宋" w:hAnsi="仿宋" w:eastAsia="仿宋" w:cs="仿宋"/>
          <w:bCs/>
          <w:color w:val="auto"/>
          <w:sz w:val="24"/>
        </w:rPr>
        <w:t>有关响应文件的审查、澄清、评估和比较以及合同授予意向等情况都不得对外透露。</w:t>
      </w:r>
    </w:p>
    <w:p w14:paraId="5A749DC9">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28.3</w:t>
      </w:r>
      <w:r>
        <w:rPr>
          <w:rFonts w:hint="eastAsia" w:ascii="仿宋" w:hAnsi="仿宋" w:eastAsia="仿宋" w:cs="仿宋"/>
          <w:bCs/>
          <w:color w:val="auto"/>
          <w:sz w:val="24"/>
        </w:rPr>
        <w:t>供应商不得以任何方式干扰评审活动，否则其报价无效并追究其法律责任。</w:t>
      </w:r>
    </w:p>
    <w:p w14:paraId="320BD9EF">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28.4</w:t>
      </w:r>
      <w:r>
        <w:rPr>
          <w:rFonts w:hint="eastAsia" w:ascii="仿宋" w:hAnsi="仿宋" w:eastAsia="仿宋" w:cs="仿宋"/>
          <w:bCs/>
          <w:color w:val="auto"/>
          <w:sz w:val="24"/>
        </w:rPr>
        <w:t>采购代理机构将指定专人负责评审过程中的全部联系工作。</w:t>
      </w:r>
    </w:p>
    <w:p w14:paraId="516B807D">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九、其他</w:t>
      </w:r>
    </w:p>
    <w:p w14:paraId="7D70C6C3">
      <w:pPr>
        <w:spacing w:line="360" w:lineRule="auto"/>
        <w:ind w:firstLine="480" w:firstLineChars="200"/>
        <w:rPr>
          <w:rFonts w:ascii="仿宋" w:hAnsi="仿宋" w:eastAsia="仿宋" w:cs="仿宋"/>
          <w:b/>
          <w:bCs/>
          <w:color w:val="auto"/>
          <w:sz w:val="36"/>
          <w:szCs w:val="36"/>
        </w:rPr>
      </w:pPr>
      <w:r>
        <w:rPr>
          <w:rFonts w:hint="eastAsia" w:ascii="仿宋" w:hAnsi="仿宋" w:eastAsia="仿宋" w:cs="仿宋"/>
          <w:bCs/>
          <w:color w:val="auto"/>
          <w:sz w:val="24"/>
        </w:rPr>
        <w:t>本竞争性谈判文件中所引相关法律制度规定，在采购活动中有变化的，按照变化后的相关法律制度规定执行。本章和第</w:t>
      </w:r>
      <w:r>
        <w:rPr>
          <w:rFonts w:hint="eastAsia" w:ascii="仿宋" w:hAnsi="仿宋" w:eastAsia="仿宋" w:cs="仿宋"/>
          <w:bCs/>
          <w:color w:val="auto"/>
          <w:sz w:val="24"/>
          <w:lang w:eastAsia="zh-CN"/>
        </w:rPr>
        <w:t>八</w:t>
      </w:r>
      <w:r>
        <w:rPr>
          <w:rFonts w:hint="eastAsia" w:ascii="仿宋" w:hAnsi="仿宋" w:eastAsia="仿宋" w:cs="仿宋"/>
          <w:bCs/>
          <w:color w:val="auto"/>
          <w:sz w:val="24"/>
        </w:rPr>
        <w:t>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20206"/>
      <w:bookmarkStart w:id="19" w:name="_Toc28047"/>
      <w:bookmarkStart w:id="20" w:name="_Toc32389"/>
    </w:p>
    <w:p w14:paraId="71FA823D">
      <w:pPr>
        <w:spacing w:before="100" w:beforeAutospacing="1" w:after="50" w:line="360" w:lineRule="auto"/>
        <w:jc w:val="both"/>
        <w:outlineLvl w:val="9"/>
        <w:rPr>
          <w:rFonts w:hint="eastAsia" w:ascii="仿宋" w:hAnsi="仿宋" w:eastAsia="仿宋" w:cs="仿宋"/>
          <w:b/>
          <w:bCs/>
          <w:color w:val="auto"/>
          <w:kern w:val="2"/>
          <w:sz w:val="36"/>
          <w:szCs w:val="36"/>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14:paraId="7377A9D4">
      <w:pPr>
        <w:pStyle w:val="22"/>
        <w:keepNext w:val="0"/>
        <w:keepLines w:val="0"/>
        <w:pageBreakBefore w:val="0"/>
        <w:widowControl/>
        <w:kinsoku/>
        <w:wordWrap/>
        <w:overflowPunct/>
        <w:topLinePunct w:val="0"/>
        <w:autoSpaceDE/>
        <w:autoSpaceDN/>
        <w:bidi w:val="0"/>
        <w:adjustRightInd/>
        <w:snapToGrid w:val="0"/>
        <w:spacing w:before="157" w:beforeLines="50" w:after="313" w:afterLines="100" w:line="360" w:lineRule="auto"/>
        <w:jc w:val="center"/>
        <w:textAlignment w:val="auto"/>
        <w:outlineLvl w:val="0"/>
        <w:rPr>
          <w:rFonts w:hint="eastAsia" w:ascii="仿宋" w:hAnsi="仿宋" w:eastAsia="仿宋" w:cs="仿宋"/>
          <w:bCs/>
          <w:color w:val="auto"/>
          <w:sz w:val="24"/>
        </w:rPr>
      </w:pPr>
      <w:bookmarkStart w:id="21" w:name="_Toc11322"/>
      <w:bookmarkStart w:id="22" w:name="_Toc7520"/>
      <w:bookmarkStart w:id="23" w:name="_Toc1630"/>
      <w:r>
        <w:rPr>
          <w:rFonts w:hint="eastAsia" w:ascii="仿宋" w:hAnsi="仿宋" w:eastAsia="仿宋" w:cs="仿宋"/>
          <w:b/>
          <w:bCs/>
          <w:color w:val="auto"/>
          <w:kern w:val="2"/>
          <w:sz w:val="36"/>
          <w:szCs w:val="36"/>
        </w:rPr>
        <w:t>第三章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供应商的资格条件要求</w:t>
      </w:r>
      <w:bookmarkEnd w:id="18"/>
      <w:bookmarkEnd w:id="19"/>
      <w:bookmarkEnd w:id="20"/>
      <w:bookmarkEnd w:id="21"/>
      <w:bookmarkEnd w:id="22"/>
      <w:bookmarkEnd w:id="23"/>
    </w:p>
    <w:p w14:paraId="1797FCA9">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rPr>
        <w:t>一、供应商应具备下列资格条件</w:t>
      </w:r>
    </w:p>
    <w:p w14:paraId="7E9BAD63">
      <w:pPr>
        <w:snapToGrid w:val="0"/>
        <w:spacing w:line="360" w:lineRule="auto"/>
        <w:ind w:firstLine="482" w:firstLineChars="200"/>
        <w:outlineLvl w:val="2"/>
        <w:rPr>
          <w:rFonts w:hint="eastAsia" w:ascii="仿宋" w:hAnsi="仿宋" w:eastAsia="仿宋" w:cs="仿宋"/>
          <w:b/>
          <w:bCs w:val="0"/>
          <w:color w:val="auto"/>
          <w:sz w:val="24"/>
          <w:highlight w:val="none"/>
          <w:shd w:val="clear" w:color="auto" w:fill="auto"/>
          <w:lang w:eastAsia="zh-CN"/>
        </w:rPr>
      </w:pPr>
      <w:r>
        <w:rPr>
          <w:rFonts w:hint="eastAsia" w:ascii="仿宋" w:hAnsi="仿宋" w:eastAsia="仿宋" w:cs="仿宋"/>
          <w:b/>
          <w:bCs w:val="0"/>
          <w:color w:val="auto"/>
          <w:sz w:val="24"/>
          <w:highlight w:val="none"/>
          <w:shd w:val="clear" w:color="auto" w:fill="auto"/>
          <w:lang w:eastAsia="zh-CN"/>
        </w:rPr>
        <w:t>（一）满足本项目要求的基本资格条件</w:t>
      </w:r>
    </w:p>
    <w:p w14:paraId="6CD84D78">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1、具有独立承担民事责任的能力；</w:t>
      </w:r>
    </w:p>
    <w:p w14:paraId="3781C704">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2、具有良好的商业信誉和健全的财务会计制度；</w:t>
      </w:r>
    </w:p>
    <w:p w14:paraId="40F4909A">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3、具有履行合同所必需的设备和专业技术能力；</w:t>
      </w:r>
    </w:p>
    <w:p w14:paraId="414563BC">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4、有依法缴纳税收和社会保障资金的良好记录；</w:t>
      </w:r>
    </w:p>
    <w:p w14:paraId="60D3FB75">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5、参加本次项目采购活动前三年内，在经营活动中没有重大违法记录；</w:t>
      </w:r>
    </w:p>
    <w:p w14:paraId="0DB2C6EE">
      <w:pPr>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6、法律、行政法规规定的其他条件。</w:t>
      </w:r>
    </w:p>
    <w:p w14:paraId="44B3C518">
      <w:pPr>
        <w:spacing w:line="360" w:lineRule="auto"/>
        <w:ind w:firstLine="48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bCs w:val="0"/>
          <w:color w:val="auto"/>
          <w:sz w:val="24"/>
          <w:highlight w:val="none"/>
          <w:shd w:val="clear" w:color="auto" w:fill="auto"/>
          <w:lang w:eastAsia="zh-CN"/>
        </w:rPr>
        <w:t>满足</w:t>
      </w:r>
      <w:r>
        <w:rPr>
          <w:rFonts w:hint="eastAsia" w:ascii="仿宋" w:hAnsi="仿宋" w:eastAsia="仿宋" w:cs="仿宋"/>
          <w:b/>
          <w:color w:val="auto"/>
          <w:sz w:val="24"/>
          <w:highlight w:val="none"/>
        </w:rPr>
        <w:t>本项目要求的</w:t>
      </w:r>
      <w:r>
        <w:rPr>
          <w:rFonts w:hint="eastAsia" w:ascii="仿宋" w:hAnsi="仿宋" w:eastAsia="仿宋" w:cs="仿宋"/>
          <w:b/>
          <w:color w:val="auto"/>
          <w:sz w:val="24"/>
          <w:highlight w:val="none"/>
          <w:lang w:eastAsia="zh-CN"/>
        </w:rPr>
        <w:t>特定资格</w:t>
      </w:r>
      <w:r>
        <w:rPr>
          <w:rFonts w:hint="eastAsia" w:ascii="仿宋" w:hAnsi="仿宋" w:eastAsia="仿宋" w:cs="仿宋"/>
          <w:b/>
          <w:color w:val="auto"/>
          <w:sz w:val="24"/>
          <w:highlight w:val="none"/>
        </w:rPr>
        <w:t>条件</w:t>
      </w:r>
    </w:p>
    <w:p w14:paraId="18B93022">
      <w:pPr>
        <w:spacing w:line="360" w:lineRule="auto"/>
        <w:ind w:firstLine="480"/>
        <w:outlineLvl w:val="2"/>
        <w:rPr>
          <w:rFonts w:hint="eastAsia" w:ascii="仿宋" w:hAnsi="仿宋" w:eastAsia="仿宋" w:cs="仿宋"/>
          <w:bCs/>
          <w:i w:val="0"/>
          <w:iCs w:val="0"/>
          <w:caps w:val="0"/>
          <w:color w:val="auto"/>
          <w:spacing w:val="0"/>
          <w:sz w:val="24"/>
          <w:szCs w:val="24"/>
          <w:highlight w:val="none"/>
          <w:shd w:val="clear" w:color="auto" w:fill="auto"/>
          <w:lang w:eastAsia="zh-CN"/>
        </w:rPr>
      </w:pPr>
      <w:r>
        <w:rPr>
          <w:rFonts w:hint="eastAsia" w:ascii="仿宋" w:hAnsi="仿宋" w:eastAsia="仿宋" w:cs="仿宋"/>
          <w:bCs/>
          <w:i w:val="0"/>
          <w:iCs w:val="0"/>
          <w:caps w:val="0"/>
          <w:color w:val="auto"/>
          <w:spacing w:val="0"/>
          <w:sz w:val="24"/>
          <w:szCs w:val="24"/>
          <w:highlight w:val="none"/>
          <w:shd w:val="clear" w:color="auto" w:fill="auto"/>
          <w:lang w:val="en-US" w:eastAsia="zh-CN"/>
        </w:rPr>
        <w:t>1、</w:t>
      </w:r>
      <w:r>
        <w:rPr>
          <w:rFonts w:hint="eastAsia" w:ascii="仿宋" w:hAnsi="仿宋" w:eastAsia="仿宋" w:cs="仿宋"/>
          <w:bCs/>
          <w:i w:val="0"/>
          <w:iCs w:val="0"/>
          <w:caps w:val="0"/>
          <w:color w:val="auto"/>
          <w:spacing w:val="0"/>
          <w:sz w:val="24"/>
          <w:szCs w:val="24"/>
          <w:highlight w:val="none"/>
          <w:shd w:val="clear" w:color="auto" w:fill="auto"/>
        </w:rPr>
        <w:t>供应商具有行政主管部门颁发的有效期内的</w:t>
      </w:r>
      <w:r>
        <w:rPr>
          <w:rFonts w:hint="eastAsia" w:ascii="仿宋" w:hAnsi="仿宋" w:eastAsia="仿宋" w:cs="仿宋"/>
          <w:bCs/>
          <w:i w:val="0"/>
          <w:iCs w:val="0"/>
          <w:caps w:val="0"/>
          <w:color w:val="auto"/>
          <w:spacing w:val="0"/>
          <w:sz w:val="24"/>
          <w:szCs w:val="24"/>
          <w:highlight w:val="none"/>
          <w:shd w:val="clear" w:color="auto" w:fill="auto"/>
          <w:lang w:eastAsia="zh-CN"/>
        </w:rPr>
        <w:t>《危险化学品经营许可证》</w:t>
      </w:r>
    </w:p>
    <w:p w14:paraId="08C8C671">
      <w:pPr>
        <w:snapToGrid w:val="0"/>
        <w:spacing w:line="360" w:lineRule="auto"/>
        <w:ind w:firstLine="480" w:firstLineChars="200"/>
        <w:rPr>
          <w:rFonts w:hint="eastAsia" w:ascii="仿宋" w:hAnsi="仿宋" w:eastAsia="仿宋" w:cs="仿宋"/>
          <w:bCs/>
          <w:color w:val="auto"/>
          <w:sz w:val="24"/>
          <w:highlight w:val="none"/>
          <w:shd w:val="clear" w:color="auto" w:fill="auto"/>
          <w:lang w:val="en-US" w:eastAsia="zh-CN"/>
        </w:rPr>
      </w:pPr>
      <w:r>
        <w:rPr>
          <w:rFonts w:hint="eastAsia" w:ascii="仿宋" w:hAnsi="仿宋" w:eastAsia="仿宋" w:cs="仿宋"/>
          <w:bCs/>
          <w:color w:val="auto"/>
          <w:sz w:val="24"/>
          <w:highlight w:val="none"/>
          <w:shd w:val="clear" w:color="auto" w:fill="auto"/>
          <w:lang w:val="en-US" w:eastAsia="zh-CN"/>
        </w:rPr>
        <w:t>2、供应商应具有有效危险化学品道路运输许可证或委托运输单位的危险化学品道路运输许可证。</w:t>
      </w:r>
    </w:p>
    <w:p w14:paraId="2465A43A">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lang w:eastAsia="zh-CN"/>
        </w:rPr>
        <w:t>二</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满足本项目的</w:t>
      </w:r>
      <w:r>
        <w:rPr>
          <w:rFonts w:hint="eastAsia" w:ascii="仿宋" w:hAnsi="仿宋" w:eastAsia="仿宋" w:cs="仿宋"/>
          <w:b/>
          <w:bCs w:val="0"/>
          <w:color w:val="auto"/>
          <w:sz w:val="24"/>
        </w:rPr>
        <w:t>其他具有类似效力的要求</w:t>
      </w:r>
    </w:p>
    <w:p w14:paraId="7B669FEB">
      <w:pPr>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auto"/>
          <w:sz w:val="24"/>
          <w:highlight w:val="none"/>
          <w:shd w:val="clear" w:color="auto" w:fill="auto"/>
        </w:rPr>
        <w:t>供应商代表为供应商法定代表人</w:t>
      </w:r>
      <w:r>
        <w:rPr>
          <w:rFonts w:hint="eastAsia" w:ascii="仿宋" w:hAnsi="仿宋" w:eastAsia="仿宋" w:cs="仿宋"/>
          <w:bCs/>
          <w:color w:val="auto"/>
          <w:sz w:val="24"/>
          <w:highlight w:val="none"/>
          <w:shd w:val="clear" w:color="auto" w:fill="auto"/>
          <w:lang w:eastAsia="zh-CN"/>
        </w:rPr>
        <w:t>（或主要负责人）</w:t>
      </w:r>
      <w:r>
        <w:rPr>
          <w:rFonts w:hint="eastAsia" w:ascii="仿宋" w:hAnsi="仿宋" w:eastAsia="仿宋" w:cs="仿宋"/>
          <w:bCs/>
          <w:color w:val="auto"/>
          <w:sz w:val="24"/>
          <w:highlight w:val="none"/>
          <w:shd w:val="clear" w:color="auto" w:fill="auto"/>
        </w:rPr>
        <w:t>或其授权参加本次</w:t>
      </w:r>
      <w:r>
        <w:rPr>
          <w:rFonts w:hint="eastAsia" w:ascii="仿宋" w:hAnsi="仿宋" w:eastAsia="仿宋" w:cs="仿宋"/>
          <w:bCs/>
          <w:color w:val="auto"/>
          <w:sz w:val="24"/>
          <w:highlight w:val="none"/>
          <w:shd w:val="clear" w:color="auto" w:fill="auto"/>
          <w:lang w:eastAsia="zh-CN"/>
        </w:rPr>
        <w:t>谈判</w:t>
      </w:r>
      <w:r>
        <w:rPr>
          <w:rFonts w:hint="eastAsia" w:ascii="仿宋" w:hAnsi="仿宋" w:eastAsia="仿宋" w:cs="仿宋"/>
          <w:bCs/>
          <w:color w:val="auto"/>
          <w:sz w:val="24"/>
          <w:highlight w:val="none"/>
          <w:shd w:val="clear" w:color="auto" w:fill="auto"/>
        </w:rPr>
        <w:t>活动的合法代表。</w:t>
      </w:r>
      <w:r>
        <w:rPr>
          <w:rFonts w:hint="eastAsia" w:ascii="仿宋" w:hAnsi="仿宋" w:eastAsia="仿宋" w:cs="仿宋"/>
          <w:bCs/>
          <w:color w:val="000000" w:themeColor="text1"/>
          <w:sz w:val="24"/>
          <w14:textFill>
            <w14:solidFill>
              <w14:schemeClr w14:val="tx1"/>
            </w14:solidFill>
          </w14:textFill>
        </w:rPr>
        <w:t xml:space="preserve"> </w:t>
      </w:r>
    </w:p>
    <w:p w14:paraId="463E8B09">
      <w:pPr>
        <w:spacing w:line="360" w:lineRule="auto"/>
        <w:rPr>
          <w:rFonts w:hint="eastAsia" w:ascii="仿宋" w:hAnsi="仿宋" w:eastAsia="仿宋" w:cs="仿宋"/>
          <w:lang w:eastAsia="zh-CN"/>
        </w:rPr>
      </w:pPr>
    </w:p>
    <w:p w14:paraId="189D8F77">
      <w:pPr>
        <w:spacing w:line="360" w:lineRule="auto"/>
        <w:rPr>
          <w:rFonts w:hint="eastAsia" w:ascii="仿宋" w:hAnsi="仿宋" w:eastAsia="仿宋" w:cs="仿宋"/>
          <w:color w:val="auto"/>
        </w:rPr>
      </w:pPr>
    </w:p>
    <w:p w14:paraId="064D4CCD">
      <w:pPr>
        <w:pStyle w:val="2"/>
        <w:spacing w:line="360" w:lineRule="auto"/>
        <w:rPr>
          <w:rFonts w:hint="eastAsia" w:ascii="仿宋" w:hAnsi="仿宋" w:eastAsia="仿宋" w:cs="仿宋"/>
          <w:color w:val="auto"/>
        </w:rPr>
      </w:pPr>
    </w:p>
    <w:p w14:paraId="113D52AD">
      <w:pPr>
        <w:pStyle w:val="87"/>
        <w:numPr>
          <w:ilvl w:val="0"/>
          <w:numId w:val="0"/>
        </w:numPr>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highlight w:val="none"/>
          <w:shd w:val="clear" w:color="auto" w:fill="auto"/>
        </w:rPr>
        <w:t>注：</w:t>
      </w:r>
      <w:r>
        <w:rPr>
          <w:rFonts w:hint="eastAsia" w:ascii="仿宋" w:hAnsi="仿宋" w:eastAsia="仿宋" w:cs="仿宋"/>
          <w:b/>
          <w:bCs/>
          <w:color w:val="auto"/>
          <w:sz w:val="24"/>
          <w:highlight w:val="none"/>
          <w:shd w:val="clear" w:color="auto" w:fill="auto"/>
          <w:lang w:val="en-US" w:eastAsia="zh-CN"/>
        </w:rPr>
        <w:t>1.</w:t>
      </w:r>
      <w:r>
        <w:rPr>
          <w:rFonts w:hint="eastAsia" w:ascii="仿宋" w:hAnsi="仿宋" w:eastAsia="仿宋" w:cs="仿宋"/>
          <w:b/>
          <w:bCs/>
          <w:color w:val="auto"/>
          <w:sz w:val="24"/>
          <w:lang w:val="en-US" w:eastAsia="zh-CN"/>
        </w:rPr>
        <w:t>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14:paraId="618D7846">
      <w:pPr>
        <w:pStyle w:val="2"/>
        <w:spacing w:line="360" w:lineRule="auto"/>
        <w:ind w:firstLine="482" w:firstLineChars="200"/>
        <w:rPr>
          <w:rFonts w:hint="eastAsia" w:ascii="仿宋" w:hAnsi="仿宋" w:eastAsia="仿宋" w:cs="仿宋"/>
          <w:b/>
          <w:color w:val="auto"/>
          <w:sz w:val="24"/>
          <w:szCs w:val="24"/>
          <w:highlight w:val="none"/>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szCs w:val="24"/>
          <w:highlight w:val="none"/>
        </w:rPr>
        <w:t>供应商若不符合第二章</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须知前附表“信用记录查询及使用”</w:t>
      </w:r>
      <w:r>
        <w:rPr>
          <w:rFonts w:hint="eastAsia" w:ascii="仿宋" w:hAnsi="仿宋" w:eastAsia="仿宋" w:cs="仿宋"/>
          <w:b/>
          <w:color w:val="auto"/>
          <w:sz w:val="24"/>
          <w:szCs w:val="24"/>
          <w:highlight w:val="none"/>
          <w:lang w:eastAsia="zh-CN"/>
        </w:rPr>
        <w:t>或</w:t>
      </w:r>
      <w:r>
        <w:rPr>
          <w:rFonts w:hint="eastAsia" w:ascii="仿宋" w:hAnsi="仿宋" w:eastAsia="仿宋" w:cs="仿宋"/>
          <w:b/>
          <w:color w:val="auto"/>
          <w:sz w:val="24"/>
          <w:szCs w:val="24"/>
          <w:highlight w:val="none"/>
        </w:rPr>
        <w:t>“充分、公平竞争保障措施”规定，</w:t>
      </w:r>
      <w:r>
        <w:rPr>
          <w:rFonts w:hint="eastAsia" w:ascii="仿宋" w:hAnsi="仿宋" w:eastAsia="仿宋" w:cs="仿宋"/>
          <w:b/>
          <w:color w:val="auto"/>
          <w:sz w:val="24"/>
          <w:szCs w:val="24"/>
          <w:highlight w:val="none"/>
          <w:lang w:eastAsia="zh-CN"/>
        </w:rPr>
        <w:t>视为资格审查不</w:t>
      </w:r>
      <w:r>
        <w:rPr>
          <w:rFonts w:hint="eastAsia" w:ascii="仿宋" w:hAnsi="仿宋" w:eastAsia="仿宋" w:cs="仿宋"/>
          <w:b/>
          <w:color w:val="auto"/>
          <w:sz w:val="24"/>
          <w:szCs w:val="24"/>
          <w:highlight w:val="none"/>
        </w:rPr>
        <w:t>通过。</w:t>
      </w:r>
    </w:p>
    <w:p w14:paraId="1783CC15">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outlineLvl w:val="0"/>
        <w:rPr>
          <w:rFonts w:ascii="仿宋" w:hAnsi="仿宋" w:eastAsia="仿宋" w:cs="仿宋"/>
          <w:b/>
          <w:bCs/>
          <w:color w:val="auto"/>
          <w:kern w:val="2"/>
          <w:sz w:val="36"/>
          <w:szCs w:val="36"/>
        </w:rPr>
      </w:pPr>
      <w:bookmarkStart w:id="24" w:name="_Toc3076"/>
      <w:bookmarkStart w:id="25" w:name="_Toc22893"/>
      <w:bookmarkStart w:id="26" w:name="_Toc14481"/>
      <w:bookmarkStart w:id="27" w:name="_Toc21415"/>
      <w:bookmarkStart w:id="28" w:name="_Toc24325"/>
      <w:r>
        <w:rPr>
          <w:rFonts w:hint="eastAsia" w:ascii="仿宋" w:hAnsi="仿宋" w:eastAsia="仿宋" w:cs="仿宋"/>
          <w:b/>
          <w:bCs/>
          <w:color w:val="auto"/>
          <w:kern w:val="2"/>
          <w:sz w:val="36"/>
          <w:szCs w:val="36"/>
        </w:rPr>
        <w:t>第四章 供应商应当提供的资格证明材料</w:t>
      </w:r>
      <w:bookmarkEnd w:id="24"/>
      <w:bookmarkEnd w:id="25"/>
      <w:bookmarkEnd w:id="26"/>
      <w:bookmarkEnd w:id="27"/>
      <w:bookmarkEnd w:id="28"/>
    </w:p>
    <w:p w14:paraId="0D535D69">
      <w:pPr>
        <w:spacing w:line="400" w:lineRule="exact"/>
        <w:ind w:firstLine="482" w:firstLineChars="200"/>
        <w:outlineLvl w:val="9"/>
        <w:rPr>
          <w:rFonts w:hint="eastAsia" w:ascii="仿宋" w:hAnsi="仿宋" w:eastAsia="仿宋" w:cs="仿宋"/>
          <w:b/>
          <w:bCs/>
          <w:color w:val="auto"/>
          <w:sz w:val="24"/>
        </w:rPr>
      </w:pPr>
    </w:p>
    <w:p w14:paraId="0DC2B9A1">
      <w:pPr>
        <w:spacing w:line="360" w:lineRule="auto"/>
        <w:ind w:firstLine="482" w:firstLineChars="200"/>
        <w:outlineLvl w:val="1"/>
        <w:rPr>
          <w:rFonts w:ascii="仿宋" w:hAnsi="仿宋" w:eastAsia="仿宋" w:cs="仿宋"/>
          <w:b/>
          <w:bCs/>
          <w:color w:val="auto"/>
          <w:sz w:val="24"/>
        </w:rPr>
      </w:pPr>
      <w:r>
        <w:rPr>
          <w:rFonts w:hint="eastAsia" w:ascii="仿宋" w:hAnsi="仿宋" w:eastAsia="仿宋" w:cs="仿宋"/>
          <w:b/>
          <w:bCs/>
          <w:color w:val="auto"/>
          <w:sz w:val="24"/>
        </w:rPr>
        <w:t>一、</w:t>
      </w:r>
      <w:r>
        <w:rPr>
          <w:rFonts w:hint="eastAsia" w:ascii="仿宋" w:hAnsi="仿宋" w:eastAsia="仿宋" w:cs="仿宋"/>
          <w:b/>
          <w:bCs/>
          <w:color w:val="auto"/>
          <w:sz w:val="24"/>
          <w:lang w:eastAsia="zh-CN"/>
        </w:rPr>
        <w:t>满足本项目基本</w:t>
      </w:r>
      <w:r>
        <w:rPr>
          <w:rFonts w:hint="eastAsia" w:ascii="仿宋" w:hAnsi="仿宋" w:eastAsia="仿宋" w:cs="仿宋"/>
          <w:b/>
          <w:bCs/>
          <w:color w:val="auto"/>
          <w:sz w:val="24"/>
        </w:rPr>
        <w:t>资格</w:t>
      </w:r>
      <w:r>
        <w:rPr>
          <w:rFonts w:hint="eastAsia" w:ascii="仿宋" w:hAnsi="仿宋" w:eastAsia="仿宋" w:cs="仿宋"/>
          <w:b/>
          <w:bCs/>
          <w:color w:val="auto"/>
          <w:sz w:val="24"/>
          <w:lang w:eastAsia="zh-CN"/>
        </w:rPr>
        <w:t>条件</w:t>
      </w:r>
      <w:r>
        <w:rPr>
          <w:rFonts w:hint="eastAsia" w:ascii="仿宋" w:hAnsi="仿宋" w:eastAsia="仿宋" w:cs="仿宋"/>
          <w:b/>
          <w:bCs/>
          <w:color w:val="auto"/>
          <w:sz w:val="24"/>
        </w:rPr>
        <w:t>的证明材料</w:t>
      </w:r>
    </w:p>
    <w:p w14:paraId="68D119E7">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1、营业执照等证明文件</w:t>
      </w:r>
    </w:p>
    <w:p w14:paraId="66701E87">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（1）供应商若为企业法人：提供“统一社会信用代码营业执照”；</w:t>
      </w:r>
    </w:p>
    <w:p w14:paraId="0085111A">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（2）供应商若为事业法人：提供“统一社会信用代码法人登记证书”；</w:t>
      </w:r>
    </w:p>
    <w:p w14:paraId="709916FC">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（3）供应商若为其他组织：提供“对应主管部门颁发的准许执业证明文件或营业执照”；</w:t>
      </w:r>
    </w:p>
    <w:p w14:paraId="585E1303">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（4）供应商若为自然人，提供“身份证明材料”；</w:t>
      </w:r>
    </w:p>
    <w:p w14:paraId="615A02D9">
      <w:pPr>
        <w:spacing w:line="360" w:lineRule="auto"/>
        <w:ind w:firstLine="480" w:firstLineChars="200"/>
        <w:rPr>
          <w:rFonts w:hint="eastAsia" w:ascii="仿宋" w:hAnsi="仿宋" w:eastAsia="仿宋" w:cs="仿宋"/>
          <w:color w:val="auto"/>
        </w:rPr>
      </w:pPr>
      <w:r>
        <w:rPr>
          <w:rFonts w:hint="eastAsia" w:ascii="仿宋" w:hAnsi="仿宋" w:eastAsia="仿宋" w:cs="仿宋"/>
          <w:b w:val="0"/>
          <w:bCs w:val="0"/>
          <w:color w:val="auto"/>
          <w:sz w:val="24"/>
          <w:szCs w:val="32"/>
          <w:highlight w:val="none"/>
          <w:shd w:val="clear" w:color="auto" w:fill="auto"/>
        </w:rPr>
        <w:t>2、</w:t>
      </w:r>
      <w:r>
        <w:rPr>
          <w:rFonts w:hint="eastAsia" w:ascii="仿宋" w:hAnsi="仿宋" w:eastAsia="仿宋" w:cs="仿宋"/>
          <w:b w:val="0"/>
          <w:color w:val="auto"/>
          <w:sz w:val="24"/>
          <w:lang w:eastAsia="zh-CN"/>
        </w:rPr>
        <w:t>提供有效的“资格声明函”</w:t>
      </w:r>
      <w:r>
        <w:rPr>
          <w:rFonts w:hint="eastAsia" w:ascii="仿宋" w:hAnsi="仿宋" w:eastAsia="仿宋" w:cs="仿宋"/>
          <w:b/>
          <w:bCs/>
          <w:color w:val="auto"/>
          <w:sz w:val="24"/>
          <w:lang w:eastAsia="zh-CN"/>
        </w:rPr>
        <w:t>（格式详见</w:t>
      </w:r>
      <w:r>
        <w:rPr>
          <w:rFonts w:hint="eastAsia" w:ascii="仿宋" w:hAnsi="仿宋" w:eastAsia="仿宋" w:cs="仿宋"/>
          <w:b/>
          <w:bCs/>
          <w:color w:val="auto"/>
          <w:sz w:val="24"/>
          <w:lang w:val="en-US" w:eastAsia="zh-CN"/>
        </w:rPr>
        <w:t xml:space="preserve"> 格式1-4</w:t>
      </w:r>
      <w:r>
        <w:rPr>
          <w:rFonts w:hint="eastAsia" w:ascii="仿宋" w:hAnsi="仿宋" w:eastAsia="仿宋" w:cs="仿宋"/>
          <w:b/>
          <w:bCs/>
          <w:color w:val="auto"/>
          <w:sz w:val="24"/>
          <w:lang w:eastAsia="zh-CN"/>
        </w:rPr>
        <w:t>）</w:t>
      </w:r>
      <w:r>
        <w:rPr>
          <w:rFonts w:hint="eastAsia" w:ascii="仿宋" w:hAnsi="仿宋" w:eastAsia="仿宋" w:cs="仿宋"/>
          <w:b w:val="0"/>
          <w:color w:val="auto"/>
          <w:sz w:val="24"/>
          <w:lang w:eastAsia="zh-CN"/>
        </w:rPr>
        <w:t>。</w:t>
      </w:r>
    </w:p>
    <w:p w14:paraId="0BE8F7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highlight w:val="none"/>
          <w:lang w:val="en-US" w:eastAsia="zh-CN"/>
        </w:rPr>
      </w:pPr>
    </w:p>
    <w:p w14:paraId="46B9692D">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二、满足本项目特定资格条件的证明材料</w:t>
      </w:r>
    </w:p>
    <w:p w14:paraId="0DFE4FB8">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1、</w:t>
      </w:r>
      <w:r>
        <w:rPr>
          <w:rFonts w:hint="eastAsia" w:ascii="仿宋" w:hAnsi="仿宋" w:eastAsia="仿宋" w:cs="仿宋"/>
          <w:bCs/>
          <w:color w:val="000000" w:themeColor="text1"/>
          <w:sz w:val="24"/>
          <w:highlight w:val="none"/>
          <w:lang w:eastAsia="zh-CN"/>
          <w14:textFill>
            <w14:solidFill>
              <w14:schemeClr w14:val="tx1"/>
            </w14:solidFill>
          </w14:textFill>
        </w:rPr>
        <w:t>供应商提供</w:t>
      </w:r>
      <w:r>
        <w:rPr>
          <w:rFonts w:hint="eastAsia" w:ascii="仿宋" w:hAnsi="仿宋" w:eastAsia="仿宋" w:cs="仿宋"/>
          <w:bCs/>
          <w:i w:val="0"/>
          <w:iCs w:val="0"/>
          <w:caps w:val="0"/>
          <w:color w:val="auto"/>
          <w:spacing w:val="0"/>
          <w:sz w:val="24"/>
          <w:szCs w:val="24"/>
          <w:highlight w:val="none"/>
          <w:shd w:val="clear" w:color="auto" w:fill="auto"/>
        </w:rPr>
        <w:t>行政主管部门颁发的有效期内的</w:t>
      </w:r>
      <w:r>
        <w:rPr>
          <w:rFonts w:hint="eastAsia" w:ascii="仿宋" w:hAnsi="仿宋" w:eastAsia="仿宋" w:cs="仿宋"/>
          <w:bCs/>
          <w:color w:val="000000" w:themeColor="text1"/>
          <w:sz w:val="24"/>
          <w:highlight w:val="none"/>
          <w:lang w:eastAsia="zh-CN"/>
          <w14:textFill>
            <w14:solidFill>
              <w14:schemeClr w14:val="tx1"/>
            </w14:solidFill>
          </w14:textFill>
        </w:rPr>
        <w:t>《危险化学品经营许可证》影印件</w:t>
      </w:r>
      <w:r>
        <w:rPr>
          <w:rFonts w:hint="eastAsia" w:ascii="仿宋" w:hAnsi="仿宋" w:eastAsia="仿宋" w:cs="仿宋"/>
          <w:bCs/>
          <w:color w:val="000000" w:themeColor="text1"/>
          <w:kern w:val="2"/>
          <w:sz w:val="24"/>
          <w:szCs w:val="24"/>
          <w:lang w:val="en-US" w:eastAsia="zh-CN" w:bidi="ar-SA"/>
          <w14:textFill>
            <w14:solidFill>
              <w14:schemeClr w14:val="tx1"/>
            </w14:solidFill>
          </w14:textFill>
        </w:rPr>
        <w:t>。</w:t>
      </w:r>
    </w:p>
    <w:p w14:paraId="1BD5FF5A">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Cs/>
          <w:color w:val="000000" w:themeColor="text1"/>
          <w:sz w:val="24"/>
          <w:highlight w:val="none"/>
          <w:lang w:val="en-US" w:eastAsia="zh-CN"/>
          <w14:textFill>
            <w14:solidFill>
              <w14:schemeClr w14:val="tx1"/>
            </w14:solidFill>
          </w14:textFill>
        </w:rPr>
      </w:pPr>
      <w:r>
        <w:rPr>
          <w:rFonts w:hint="eastAsia" w:ascii="仿宋" w:hAnsi="仿宋" w:eastAsia="仿宋" w:cs="仿宋"/>
          <w:bCs/>
          <w:color w:val="000000" w:themeColor="text1"/>
          <w:sz w:val="24"/>
          <w:highlight w:val="none"/>
          <w:lang w:val="en-US" w:eastAsia="zh-CN"/>
          <w14:textFill>
            <w14:solidFill>
              <w14:schemeClr w14:val="tx1"/>
            </w14:solidFill>
          </w14:textFill>
        </w:rPr>
        <w:t>2、供应商提供有效危险化学品道路运输许可证影印件或委托运输单位的危险化学品道路运输许可证影印件。</w:t>
      </w:r>
    </w:p>
    <w:p w14:paraId="7188B3A1">
      <w:pPr>
        <w:spacing w:line="360" w:lineRule="auto"/>
        <w:ind w:firstLine="482" w:firstLineChars="200"/>
        <w:outlineLvl w:val="1"/>
        <w:rPr>
          <w:rFonts w:ascii="仿宋" w:hAnsi="仿宋" w:eastAsia="仿宋" w:cs="仿宋"/>
          <w:b/>
          <w:bCs/>
          <w:color w:val="auto"/>
          <w:sz w:val="24"/>
          <w:szCs w:val="22"/>
        </w:rPr>
      </w:pPr>
      <w:r>
        <w:rPr>
          <w:rFonts w:hint="eastAsia" w:ascii="仿宋" w:hAnsi="仿宋" w:eastAsia="仿宋" w:cs="仿宋"/>
          <w:b/>
          <w:bCs w:val="0"/>
          <w:color w:val="auto"/>
          <w:sz w:val="24"/>
          <w:lang w:eastAsia="zh-CN"/>
        </w:rPr>
        <w:t>三</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w:t>
      </w:r>
      <w:r>
        <w:rPr>
          <w:rFonts w:hint="eastAsia" w:ascii="仿宋" w:hAnsi="仿宋" w:eastAsia="仿宋" w:cs="仿宋"/>
          <w:b/>
          <w:bCs w:val="0"/>
          <w:color w:val="auto"/>
          <w:sz w:val="24"/>
        </w:rPr>
        <w:t>其他</w:t>
      </w:r>
      <w:r>
        <w:rPr>
          <w:rFonts w:hint="eastAsia" w:ascii="仿宋" w:hAnsi="仿宋" w:eastAsia="仿宋" w:cs="仿宋"/>
          <w:b/>
          <w:bCs w:val="0"/>
          <w:color w:val="auto"/>
          <w:sz w:val="24"/>
          <w:szCs w:val="22"/>
        </w:rPr>
        <w:t>具有类似效力的</w:t>
      </w:r>
      <w:r>
        <w:rPr>
          <w:rFonts w:hint="eastAsia" w:ascii="仿宋" w:hAnsi="仿宋" w:eastAsia="仿宋" w:cs="仿宋"/>
          <w:b/>
          <w:bCs/>
          <w:color w:val="auto"/>
          <w:sz w:val="24"/>
          <w:szCs w:val="22"/>
        </w:rPr>
        <w:t>证明材料</w:t>
      </w:r>
    </w:p>
    <w:p w14:paraId="2A70112B">
      <w:pPr>
        <w:spacing w:line="360" w:lineRule="auto"/>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rPr>
        <w:t>法定代表人身份证明书原件（供应商代表为法定代表人时提供）或法定代</w:t>
      </w:r>
      <w:r>
        <w:rPr>
          <w:rFonts w:hint="eastAsia" w:ascii="仿宋" w:hAnsi="仿宋" w:eastAsia="仿宋" w:cs="仿宋"/>
          <w:bCs/>
          <w:color w:val="auto"/>
          <w:kern w:val="2"/>
          <w:sz w:val="24"/>
          <w:szCs w:val="24"/>
          <w:lang w:val="en-US" w:eastAsia="zh-CN" w:bidi="ar-SA"/>
        </w:rPr>
        <w:t>表人授权委托书原件（供应商代表为非法定代表人时提供）。</w:t>
      </w:r>
    </w:p>
    <w:p w14:paraId="71ACC102">
      <w:pPr>
        <w:spacing w:line="360" w:lineRule="auto"/>
        <w:rPr>
          <w:rFonts w:hint="eastAsia" w:ascii="仿宋" w:hAnsi="仿宋" w:eastAsia="仿宋" w:cs="仿宋"/>
          <w:b/>
          <w:bCs/>
          <w:color w:val="auto"/>
          <w:sz w:val="24"/>
        </w:rPr>
      </w:pPr>
    </w:p>
    <w:p w14:paraId="784EBD1F">
      <w:pPr>
        <w:spacing w:line="360" w:lineRule="auto"/>
        <w:ind w:firstLine="0" w:firstLineChars="0"/>
        <w:jc w:val="left"/>
        <w:rPr>
          <w:rFonts w:hint="eastAsia" w:ascii="仿宋" w:hAnsi="仿宋" w:eastAsia="仿宋" w:cs="仿宋"/>
          <w:b/>
          <w:bCs/>
          <w:color w:val="auto"/>
          <w:sz w:val="24"/>
        </w:rPr>
      </w:pPr>
    </w:p>
    <w:p w14:paraId="5EBCE06F">
      <w:pPr>
        <w:spacing w:line="360" w:lineRule="auto"/>
        <w:ind w:firstLine="0" w:firstLineChars="0"/>
        <w:jc w:val="left"/>
        <w:rPr>
          <w:rFonts w:hint="eastAsia" w:ascii="仿宋" w:hAnsi="仿宋" w:eastAsia="仿宋" w:cs="仿宋"/>
          <w:b/>
          <w:color w:val="auto"/>
          <w:sz w:val="24"/>
        </w:rPr>
      </w:pPr>
      <w:r>
        <w:rPr>
          <w:rFonts w:hint="eastAsia" w:ascii="仿宋" w:hAnsi="仿宋" w:eastAsia="仿宋" w:cs="仿宋"/>
          <w:b/>
          <w:bCs/>
          <w:color w:val="auto"/>
          <w:sz w:val="24"/>
        </w:rPr>
        <w:t>注：</w:t>
      </w: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本章要求提供的证件都应在有效期内，所有影印件都须</w:t>
      </w:r>
      <w:r>
        <w:rPr>
          <w:rFonts w:hint="eastAsia" w:ascii="仿宋" w:hAnsi="仿宋" w:eastAsia="仿宋" w:cs="仿宋"/>
          <w:b/>
          <w:color w:val="auto"/>
          <w:sz w:val="24"/>
          <w:lang w:eastAsia="zh-CN"/>
        </w:rPr>
        <w:t>加盖公</w:t>
      </w:r>
      <w:r>
        <w:rPr>
          <w:rFonts w:hint="eastAsia" w:ascii="仿宋" w:hAnsi="仿宋" w:eastAsia="仿宋" w:cs="仿宋"/>
          <w:b/>
          <w:color w:val="auto"/>
          <w:sz w:val="24"/>
        </w:rPr>
        <w:t>章。</w:t>
      </w:r>
    </w:p>
    <w:p w14:paraId="1A60E887">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未按本章要求提供齐全相关资格性审查资料的、或者经审查未响应本章相关要求的，资格审查不能通过。</w:t>
      </w:r>
    </w:p>
    <w:p w14:paraId="22542D68">
      <w:pPr>
        <w:spacing w:line="400" w:lineRule="exact"/>
        <w:ind w:firstLine="482" w:firstLineChars="200"/>
        <w:rPr>
          <w:rFonts w:ascii="仿宋" w:hAnsi="仿宋" w:eastAsia="仿宋" w:cs="仿宋"/>
          <w:b/>
          <w:bCs/>
          <w:color w:val="auto"/>
          <w:sz w:val="24"/>
        </w:rPr>
      </w:pPr>
    </w:p>
    <w:p w14:paraId="147E0FE8">
      <w:pPr>
        <w:pStyle w:val="22"/>
        <w:keepNext w:val="0"/>
        <w:keepLines w:val="0"/>
        <w:pageBreakBefore w:val="0"/>
        <w:widowControl/>
        <w:kinsoku/>
        <w:wordWrap/>
        <w:overflowPunct/>
        <w:topLinePunct w:val="0"/>
        <w:autoSpaceDE/>
        <w:autoSpaceDN/>
        <w:bidi w:val="0"/>
        <w:adjustRightInd/>
        <w:snapToGrid/>
        <w:spacing w:before="157" w:beforeLines="50" w:beforeAutospacing="0" w:after="313" w:afterLines="100" w:line="360" w:lineRule="auto"/>
        <w:jc w:val="center"/>
        <w:textAlignment w:val="auto"/>
        <w:outlineLvl w:val="0"/>
        <w:rPr>
          <w:rFonts w:ascii="仿宋" w:hAnsi="仿宋" w:eastAsia="仿宋" w:cs="仿宋"/>
          <w:b/>
          <w:bCs/>
          <w:color w:val="auto"/>
          <w:kern w:val="2"/>
          <w:sz w:val="36"/>
          <w:szCs w:val="36"/>
          <w:highlight w:val="green"/>
        </w:rPr>
      </w:pPr>
      <w:r>
        <w:rPr>
          <w:rFonts w:hint="eastAsia" w:ascii="仿宋" w:hAnsi="仿宋" w:eastAsia="仿宋" w:cs="仿宋"/>
          <w:b/>
          <w:bCs/>
          <w:color w:val="auto"/>
          <w:kern w:val="2"/>
          <w:sz w:val="36"/>
          <w:szCs w:val="36"/>
        </w:rPr>
        <w:br w:type="page"/>
      </w:r>
      <w:bookmarkStart w:id="29" w:name="_Toc18202"/>
      <w:bookmarkStart w:id="30" w:name="_Toc16028"/>
      <w:bookmarkStart w:id="31" w:name="_Toc28624"/>
      <w:bookmarkStart w:id="32" w:name="_Toc15132"/>
      <w:bookmarkStart w:id="33" w:name="_Toc7469"/>
      <w:bookmarkStart w:id="34" w:name="_Toc9934"/>
      <w:r>
        <w:rPr>
          <w:rFonts w:hint="eastAsia" w:ascii="仿宋" w:hAnsi="仿宋" w:eastAsia="仿宋" w:cs="仿宋"/>
          <w:b/>
          <w:bCs/>
          <w:color w:val="auto"/>
          <w:kern w:val="2"/>
          <w:sz w:val="36"/>
          <w:szCs w:val="36"/>
        </w:rPr>
        <w:t>第五章 采购项目内容及商务要求</w:t>
      </w:r>
      <w:bookmarkEnd w:id="29"/>
      <w:bookmarkEnd w:id="30"/>
      <w:bookmarkEnd w:id="31"/>
      <w:bookmarkEnd w:id="32"/>
      <w:bookmarkEnd w:id="33"/>
      <w:bookmarkEnd w:id="34"/>
    </w:p>
    <w:p w14:paraId="698CF23A">
      <w:pPr>
        <w:pStyle w:val="5"/>
        <w:keepLines/>
        <w:spacing w:before="240" w:beforeLines="100" w:line="360" w:lineRule="auto"/>
        <w:ind w:firstLine="482" w:firstLineChars="200"/>
        <w:rPr>
          <w:rFonts w:ascii="仿宋" w:hAnsi="仿宋" w:eastAsia="仿宋" w:cs="仿宋"/>
          <w:bCs/>
          <w:color w:val="auto"/>
          <w:sz w:val="24"/>
        </w:rPr>
      </w:pPr>
      <w:bookmarkStart w:id="35" w:name="_Toc18538"/>
      <w:r>
        <w:rPr>
          <w:rFonts w:hint="eastAsia" w:ascii="仿宋" w:hAnsi="仿宋" w:eastAsia="仿宋" w:cs="仿宋"/>
          <w:bCs/>
          <w:color w:val="auto"/>
          <w:sz w:val="24"/>
          <w:szCs w:val="24"/>
        </w:rPr>
        <w:t>一、项目概述</w:t>
      </w:r>
    </w:p>
    <w:p w14:paraId="58DB7D37">
      <w:pPr>
        <w:spacing w:line="360" w:lineRule="auto"/>
        <w:ind w:firstLine="472" w:firstLineChars="200"/>
        <w:jc w:val="left"/>
        <w:rPr>
          <w:rFonts w:hint="eastAsia" w:ascii="仿宋" w:hAnsi="仿宋" w:eastAsia="仿宋" w:cs="仿宋"/>
          <w:color w:val="000000" w:themeColor="text1"/>
          <w:spacing w:val="-2"/>
          <w:sz w:val="24"/>
          <w:lang w:val="en-US" w:eastAsia="zh-CN"/>
          <w14:textFill>
            <w14:solidFill>
              <w14:schemeClr w14:val="tx1"/>
            </w14:solidFill>
          </w14:textFill>
        </w:rPr>
      </w:pPr>
      <w:r>
        <w:rPr>
          <w:rFonts w:hint="eastAsia" w:ascii="仿宋" w:hAnsi="仿宋" w:eastAsia="仿宋" w:cs="仿宋"/>
          <w:color w:val="000000" w:themeColor="text1"/>
          <w:spacing w:val="-2"/>
          <w:sz w:val="24"/>
          <w:lang w:val="en-US" w:eastAsia="zh-CN"/>
          <w14:textFill>
            <w14:solidFill>
              <w14:schemeClr w14:val="tx1"/>
            </w14:solidFill>
          </w14:textFill>
        </w:rPr>
        <w:t>富顺县中医医院根据工作发展需求，现需对2025年污水药剂进行采购。</w:t>
      </w:r>
    </w:p>
    <w:p w14:paraId="2DB6F552">
      <w:pPr>
        <w:numPr>
          <w:ilvl w:val="0"/>
          <w:numId w:val="0"/>
        </w:numPr>
        <w:spacing w:line="360" w:lineRule="auto"/>
        <w:ind w:leftChars="0" w:firstLine="482" w:firstLineChars="200"/>
        <w:jc w:val="left"/>
        <w:outlineLvl w:val="9"/>
        <w:rPr>
          <w:rFonts w:hint="eastAsia" w:ascii="仿宋" w:hAnsi="仿宋" w:eastAsia="仿宋" w:cs="仿宋"/>
          <w:b/>
          <w:bCs/>
          <w:color w:val="auto"/>
          <w:kern w:val="2"/>
          <w:sz w:val="24"/>
          <w:szCs w:val="24"/>
          <w:lang w:val="en-US" w:eastAsia="zh-CN" w:bidi="ar-SA"/>
        </w:rPr>
      </w:pPr>
    </w:p>
    <w:p w14:paraId="5D3B0C0D">
      <w:pPr>
        <w:numPr>
          <w:ilvl w:val="0"/>
          <w:numId w:val="0"/>
        </w:numPr>
        <w:spacing w:line="360" w:lineRule="auto"/>
        <w:ind w:leftChars="0" w:firstLine="482" w:firstLineChars="200"/>
        <w:jc w:val="left"/>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w:t>
      </w:r>
      <w:bookmarkEnd w:id="35"/>
      <w:r>
        <w:rPr>
          <w:rFonts w:hint="eastAsia" w:ascii="仿宋" w:hAnsi="仿宋" w:eastAsia="仿宋" w:cs="仿宋"/>
          <w:b/>
          <w:bCs/>
          <w:color w:val="auto"/>
          <w:kern w:val="2"/>
          <w:sz w:val="24"/>
          <w:szCs w:val="24"/>
          <w:lang w:val="en-US" w:eastAsia="zh-CN" w:bidi="ar-SA"/>
        </w:rPr>
        <w:t>采购标的</w:t>
      </w:r>
    </w:p>
    <w:p w14:paraId="6A5C63FB">
      <w:pPr>
        <w:pStyle w:val="2"/>
        <w:rPr>
          <w:rFonts w:hint="eastAsia" w:ascii="仿宋" w:hAnsi="仿宋" w:eastAsia="仿宋" w:cs="仿宋"/>
          <w:lang w:val="en-US" w:eastAsia="zh-CN"/>
        </w:rPr>
      </w:pPr>
    </w:p>
    <w:tbl>
      <w:tblPr>
        <w:tblStyle w:val="24"/>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513"/>
        <w:gridCol w:w="1425"/>
        <w:gridCol w:w="1012"/>
        <w:gridCol w:w="2105"/>
      </w:tblGrid>
      <w:tr w14:paraId="595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4" w:type="dxa"/>
            <w:noWrap w:val="0"/>
            <w:vAlign w:val="center"/>
          </w:tcPr>
          <w:p w14:paraId="7A5C8C6F">
            <w:pPr>
              <w:pStyle w:val="55"/>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标的号</w:t>
            </w:r>
          </w:p>
        </w:tc>
        <w:tc>
          <w:tcPr>
            <w:tcW w:w="3513" w:type="dxa"/>
            <w:noWrap w:val="0"/>
            <w:vAlign w:val="center"/>
          </w:tcPr>
          <w:p w14:paraId="39191CF1">
            <w:pPr>
              <w:pStyle w:val="55"/>
              <w:spacing w:line="400" w:lineRule="exact"/>
              <w:ind w:left="0" w:leftChars="0"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标的名称</w:t>
            </w:r>
          </w:p>
        </w:tc>
        <w:tc>
          <w:tcPr>
            <w:tcW w:w="1425" w:type="dxa"/>
            <w:noWrap w:val="0"/>
            <w:vAlign w:val="center"/>
          </w:tcPr>
          <w:p w14:paraId="13566000">
            <w:pPr>
              <w:pStyle w:val="55"/>
              <w:spacing w:line="400" w:lineRule="exact"/>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数量</w:t>
            </w:r>
          </w:p>
        </w:tc>
        <w:tc>
          <w:tcPr>
            <w:tcW w:w="1012" w:type="dxa"/>
            <w:noWrap w:val="0"/>
            <w:vAlign w:val="center"/>
          </w:tcPr>
          <w:p w14:paraId="2ACEDFDC">
            <w:pPr>
              <w:pStyle w:val="55"/>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单位</w:t>
            </w:r>
          </w:p>
        </w:tc>
        <w:tc>
          <w:tcPr>
            <w:tcW w:w="2105" w:type="dxa"/>
            <w:noWrap w:val="0"/>
            <w:vAlign w:val="center"/>
          </w:tcPr>
          <w:p w14:paraId="04B623AA">
            <w:pPr>
              <w:pStyle w:val="55"/>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单项限价（元）</w:t>
            </w:r>
          </w:p>
        </w:tc>
      </w:tr>
      <w:tr w14:paraId="79EF6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4" w:type="dxa"/>
            <w:noWrap w:val="0"/>
            <w:vAlign w:val="center"/>
          </w:tcPr>
          <w:p w14:paraId="49391296">
            <w:pPr>
              <w:pStyle w:val="55"/>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w:t>
            </w:r>
          </w:p>
        </w:tc>
        <w:tc>
          <w:tcPr>
            <w:tcW w:w="3513" w:type="dxa"/>
            <w:noWrap w:val="0"/>
            <w:vAlign w:val="center"/>
          </w:tcPr>
          <w:p w14:paraId="33D7391E">
            <w:pPr>
              <w:autoSpaceDE w:val="0"/>
              <w:spacing w:line="560" w:lineRule="exact"/>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sz w:val="24"/>
                <w:szCs w:val="24"/>
              </w:rPr>
              <w:t>污水药剂（二氧化氯消毒剂）</w:t>
            </w:r>
          </w:p>
        </w:tc>
        <w:tc>
          <w:tcPr>
            <w:tcW w:w="1425" w:type="dxa"/>
            <w:noWrap w:val="0"/>
            <w:vAlign w:val="center"/>
          </w:tcPr>
          <w:p w14:paraId="450FD10E">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6</w:t>
            </w:r>
            <w:r>
              <w:rPr>
                <w:rFonts w:hint="eastAsia" w:ascii="仿宋" w:hAnsi="仿宋" w:eastAsia="仿宋" w:cs="仿宋"/>
                <w:b w:val="0"/>
                <w:bCs/>
                <w:sz w:val="24"/>
                <w:szCs w:val="24"/>
              </w:rPr>
              <w:t>0000</w:t>
            </w:r>
          </w:p>
        </w:tc>
        <w:tc>
          <w:tcPr>
            <w:tcW w:w="1012" w:type="dxa"/>
            <w:noWrap w:val="0"/>
            <w:vAlign w:val="center"/>
          </w:tcPr>
          <w:p w14:paraId="02B4C8B2">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sz w:val="24"/>
                <w:szCs w:val="24"/>
              </w:rPr>
              <w:t>千克</w:t>
            </w:r>
          </w:p>
        </w:tc>
        <w:tc>
          <w:tcPr>
            <w:tcW w:w="2105" w:type="dxa"/>
            <w:noWrap w:val="0"/>
            <w:vAlign w:val="center"/>
          </w:tcPr>
          <w:p w14:paraId="53E3C911">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3.77</w:t>
            </w:r>
            <w:r>
              <w:rPr>
                <w:rFonts w:hint="eastAsia" w:ascii="仿宋" w:hAnsi="仿宋" w:eastAsia="仿宋" w:cs="仿宋"/>
                <w:b w:val="0"/>
                <w:bCs/>
                <w:sz w:val="24"/>
                <w:szCs w:val="24"/>
                <w:lang w:eastAsia="zh-CN"/>
              </w:rPr>
              <w:t>元/千克</w:t>
            </w:r>
          </w:p>
        </w:tc>
      </w:tr>
      <w:tr w14:paraId="65076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4" w:type="dxa"/>
            <w:noWrap w:val="0"/>
            <w:vAlign w:val="center"/>
          </w:tcPr>
          <w:p w14:paraId="0D8A4090">
            <w:pPr>
              <w:pStyle w:val="55"/>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w:t>
            </w:r>
          </w:p>
        </w:tc>
        <w:tc>
          <w:tcPr>
            <w:tcW w:w="3513" w:type="dxa"/>
            <w:noWrap w:val="0"/>
            <w:vAlign w:val="center"/>
          </w:tcPr>
          <w:p w14:paraId="5901A2FF">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sz w:val="24"/>
                <w:szCs w:val="24"/>
              </w:rPr>
              <w:t>污水COD在线监测仪分析药剂</w:t>
            </w:r>
          </w:p>
        </w:tc>
        <w:tc>
          <w:tcPr>
            <w:tcW w:w="1425" w:type="dxa"/>
            <w:noWrap w:val="0"/>
            <w:vAlign w:val="center"/>
          </w:tcPr>
          <w:p w14:paraId="4463A25D">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012" w:type="dxa"/>
            <w:noWrap w:val="0"/>
            <w:vAlign w:val="center"/>
          </w:tcPr>
          <w:p w14:paraId="1BA0996B">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sz w:val="24"/>
                <w:szCs w:val="24"/>
              </w:rPr>
              <w:t>套</w:t>
            </w:r>
          </w:p>
        </w:tc>
        <w:tc>
          <w:tcPr>
            <w:tcW w:w="2105" w:type="dxa"/>
            <w:noWrap w:val="0"/>
            <w:vAlign w:val="center"/>
          </w:tcPr>
          <w:p w14:paraId="3A95CA89">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1100</w:t>
            </w:r>
            <w:r>
              <w:rPr>
                <w:rFonts w:hint="eastAsia" w:ascii="仿宋" w:hAnsi="仿宋" w:eastAsia="仿宋" w:cs="仿宋"/>
                <w:b w:val="0"/>
                <w:bCs/>
                <w:sz w:val="24"/>
                <w:szCs w:val="24"/>
                <w:lang w:eastAsia="zh-CN"/>
              </w:rPr>
              <w:t>元/套</w:t>
            </w:r>
          </w:p>
        </w:tc>
      </w:tr>
      <w:tr w14:paraId="6612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4" w:type="dxa"/>
            <w:noWrap w:val="0"/>
            <w:vAlign w:val="center"/>
          </w:tcPr>
          <w:p w14:paraId="0C1B1D35">
            <w:pPr>
              <w:pStyle w:val="55"/>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w:t>
            </w:r>
          </w:p>
        </w:tc>
        <w:tc>
          <w:tcPr>
            <w:tcW w:w="3513" w:type="dxa"/>
            <w:noWrap w:val="0"/>
            <w:vAlign w:val="center"/>
          </w:tcPr>
          <w:p w14:paraId="53AC0E14">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sz w:val="24"/>
                <w:szCs w:val="24"/>
              </w:rPr>
              <w:t>污水氨氮在线监测仪分析药剂</w:t>
            </w:r>
          </w:p>
        </w:tc>
        <w:tc>
          <w:tcPr>
            <w:tcW w:w="1425" w:type="dxa"/>
            <w:noWrap w:val="0"/>
            <w:vAlign w:val="center"/>
          </w:tcPr>
          <w:p w14:paraId="62F4DBC5">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012" w:type="dxa"/>
            <w:noWrap w:val="0"/>
            <w:vAlign w:val="center"/>
          </w:tcPr>
          <w:p w14:paraId="03E5AB0F">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sz w:val="24"/>
                <w:szCs w:val="24"/>
              </w:rPr>
              <w:t>套</w:t>
            </w:r>
          </w:p>
        </w:tc>
        <w:tc>
          <w:tcPr>
            <w:tcW w:w="2105" w:type="dxa"/>
            <w:noWrap w:val="0"/>
            <w:vAlign w:val="center"/>
          </w:tcPr>
          <w:p w14:paraId="4842F166">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1100</w:t>
            </w:r>
            <w:r>
              <w:rPr>
                <w:rFonts w:hint="eastAsia" w:ascii="仿宋" w:hAnsi="仿宋" w:eastAsia="仿宋" w:cs="仿宋"/>
                <w:b w:val="0"/>
                <w:bCs/>
                <w:sz w:val="24"/>
                <w:szCs w:val="24"/>
                <w:lang w:eastAsia="zh-CN"/>
              </w:rPr>
              <w:t>元/套</w:t>
            </w:r>
          </w:p>
        </w:tc>
      </w:tr>
      <w:tr w14:paraId="43B5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74" w:type="dxa"/>
            <w:noWrap w:val="0"/>
            <w:vAlign w:val="center"/>
          </w:tcPr>
          <w:p w14:paraId="1CFA5A5F">
            <w:pPr>
              <w:pStyle w:val="55"/>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w:t>
            </w:r>
          </w:p>
        </w:tc>
        <w:tc>
          <w:tcPr>
            <w:tcW w:w="3513" w:type="dxa"/>
            <w:noWrap w:val="0"/>
            <w:vAlign w:val="center"/>
          </w:tcPr>
          <w:p w14:paraId="5E6C276C">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sz w:val="24"/>
                <w:szCs w:val="24"/>
              </w:rPr>
              <w:t>余氯在线监测仪电解液</w:t>
            </w:r>
          </w:p>
        </w:tc>
        <w:tc>
          <w:tcPr>
            <w:tcW w:w="1425" w:type="dxa"/>
            <w:noWrap w:val="0"/>
            <w:vAlign w:val="center"/>
          </w:tcPr>
          <w:p w14:paraId="2EF363EA">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012" w:type="dxa"/>
            <w:noWrap w:val="0"/>
            <w:vAlign w:val="center"/>
          </w:tcPr>
          <w:p w14:paraId="07AC5312">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sz w:val="24"/>
                <w:szCs w:val="24"/>
              </w:rPr>
              <w:t>瓶</w:t>
            </w:r>
          </w:p>
        </w:tc>
        <w:tc>
          <w:tcPr>
            <w:tcW w:w="2105" w:type="dxa"/>
            <w:noWrap w:val="0"/>
            <w:vAlign w:val="center"/>
          </w:tcPr>
          <w:p w14:paraId="3301AC7E">
            <w:pPr>
              <w:autoSpaceDE w:val="0"/>
              <w:spacing w:line="560" w:lineRule="exact"/>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eastAsia="zh-CN"/>
              </w:rPr>
              <w:t>3</w:t>
            </w:r>
            <w:r>
              <w:rPr>
                <w:rFonts w:hint="eastAsia" w:ascii="仿宋" w:hAnsi="仿宋" w:eastAsia="仿宋" w:cs="仿宋"/>
                <w:b w:val="0"/>
                <w:bCs/>
                <w:sz w:val="24"/>
                <w:szCs w:val="24"/>
                <w:lang w:val="en-US" w:eastAsia="zh-CN"/>
              </w:rPr>
              <w:t>4</w:t>
            </w:r>
            <w:r>
              <w:rPr>
                <w:rFonts w:hint="eastAsia" w:ascii="仿宋" w:hAnsi="仿宋" w:eastAsia="仿宋" w:cs="仿宋"/>
                <w:b w:val="0"/>
                <w:bCs/>
                <w:sz w:val="24"/>
                <w:szCs w:val="24"/>
                <w:lang w:eastAsia="zh-CN"/>
              </w:rPr>
              <w:t>0元/瓶</w:t>
            </w:r>
          </w:p>
        </w:tc>
      </w:tr>
    </w:tbl>
    <w:p w14:paraId="0E80B5D6">
      <w:pPr>
        <w:ind w:firstLine="482" w:firstLineChars="200"/>
        <w:rPr>
          <w:rFonts w:hint="eastAsia" w:ascii="仿宋" w:hAnsi="仿宋" w:eastAsia="仿宋" w:cs="仿宋"/>
          <w:b/>
          <w:bCs/>
          <w:color w:val="auto"/>
          <w:kern w:val="2"/>
          <w:sz w:val="24"/>
          <w:szCs w:val="24"/>
          <w:lang w:val="en-US" w:eastAsia="zh-CN" w:bidi="ar-SA"/>
        </w:rPr>
      </w:pPr>
    </w:p>
    <w:p w14:paraId="3A6DA39F">
      <w:pPr>
        <w:spacing w:line="360" w:lineRule="auto"/>
        <w:ind w:firstLine="482" w:firstLineChars="200"/>
        <w:outlineLvl w:val="1"/>
        <w:rPr>
          <w:rFonts w:hint="eastAsia" w:ascii="仿宋" w:hAnsi="仿宋" w:eastAsia="仿宋" w:cs="仿宋"/>
          <w:lang w:val="en-US" w:eastAsia="zh-CN"/>
        </w:rPr>
      </w:pPr>
      <w:r>
        <w:rPr>
          <w:rFonts w:hint="eastAsia" w:ascii="仿宋" w:hAnsi="仿宋" w:eastAsia="仿宋" w:cs="仿宋"/>
          <w:b/>
          <w:bCs/>
          <w:color w:val="auto"/>
          <w:kern w:val="2"/>
          <w:sz w:val="24"/>
          <w:szCs w:val="24"/>
          <w:lang w:val="en-US" w:eastAsia="zh-CN" w:bidi="ar-SA"/>
        </w:rPr>
        <w:t>★三、技术参数要求</w:t>
      </w:r>
      <w:bookmarkStart w:id="36" w:name="_Toc11404"/>
      <w:bookmarkStart w:id="37" w:name="_Toc16029"/>
      <w:bookmarkStart w:id="38" w:name="_Toc16534"/>
    </w:p>
    <w:p w14:paraId="1DBC8BBC">
      <w:pPr>
        <w:pStyle w:val="23"/>
        <w:numPr>
          <w:ilvl w:val="0"/>
          <w:numId w:val="0"/>
        </w:numPr>
        <w:spacing w:line="480" w:lineRule="auto"/>
        <w:ind w:left="0" w:leftChars="0" w:firstLine="480" w:firstLineChars="200"/>
        <w:jc w:val="left"/>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color w:val="000000"/>
          <w:sz w:val="24"/>
          <w:lang w:eastAsia="zh-CN"/>
        </w:rPr>
        <w:t>（一）污水药剂</w:t>
      </w:r>
      <w:r>
        <w:rPr>
          <w:rFonts w:hint="eastAsia" w:ascii="仿宋" w:hAnsi="仿宋" w:eastAsia="仿宋" w:cs="仿宋"/>
          <w:color w:val="000000"/>
          <w:sz w:val="24"/>
        </w:rPr>
        <w:t>（二氧化氯消毒剂</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稳定性二氧化氯溶液</w:t>
      </w:r>
      <w:r>
        <w:rPr>
          <w:rFonts w:hint="eastAsia" w:ascii="仿宋" w:hAnsi="仿宋" w:eastAsia="仿宋" w:cs="仿宋"/>
          <w:color w:val="000000"/>
          <w:sz w:val="24"/>
        </w:rPr>
        <w:t>）</w:t>
      </w:r>
    </w:p>
    <w:tbl>
      <w:tblPr>
        <w:tblStyle w:val="123"/>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320"/>
        <w:gridCol w:w="2377"/>
        <w:gridCol w:w="1489"/>
      </w:tblGrid>
      <w:tr w14:paraId="0CB2D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top w:val="single" w:color="000000" w:sz="6" w:space="0"/>
              <w:left w:val="single" w:color="000000" w:sz="6" w:space="0"/>
              <w:bottom w:val="single" w:color="000000" w:sz="6" w:space="0"/>
            </w:tcBorders>
            <w:vAlign w:val="top"/>
          </w:tcPr>
          <w:p w14:paraId="489608F5">
            <w:pPr>
              <w:pStyle w:val="122"/>
              <w:spacing w:before="108" w:line="240" w:lineRule="auto"/>
              <w:jc w:val="center"/>
              <w:rPr>
                <w:rFonts w:hint="eastAsia" w:ascii="仿宋" w:hAnsi="仿宋" w:eastAsia="仿宋" w:cs="仿宋"/>
                <w:sz w:val="24"/>
                <w:szCs w:val="24"/>
              </w:rPr>
            </w:pPr>
            <w:r>
              <w:rPr>
                <w:rFonts w:hint="eastAsia" w:ascii="仿宋" w:hAnsi="仿宋" w:eastAsia="仿宋" w:cs="仿宋"/>
                <w:spacing w:val="15"/>
                <w:sz w:val="24"/>
                <w:szCs w:val="24"/>
              </w:rPr>
              <w:t>项目名称</w:t>
            </w:r>
          </w:p>
        </w:tc>
        <w:tc>
          <w:tcPr>
            <w:tcW w:w="2377" w:type="dxa"/>
            <w:tcBorders>
              <w:top w:val="single" w:color="000000" w:sz="6" w:space="0"/>
              <w:bottom w:val="single" w:color="000000" w:sz="6" w:space="0"/>
              <w:right w:val="single" w:color="000000" w:sz="6" w:space="0"/>
            </w:tcBorders>
            <w:vAlign w:val="center"/>
          </w:tcPr>
          <w:p w14:paraId="26901F37">
            <w:pPr>
              <w:pStyle w:val="122"/>
              <w:spacing w:before="109" w:line="240" w:lineRule="auto"/>
              <w:jc w:val="center"/>
              <w:rPr>
                <w:rFonts w:hint="eastAsia" w:ascii="仿宋" w:hAnsi="仿宋" w:eastAsia="仿宋" w:cs="仿宋"/>
                <w:sz w:val="24"/>
                <w:szCs w:val="24"/>
              </w:rPr>
            </w:pPr>
            <w:r>
              <w:rPr>
                <w:rFonts w:hint="eastAsia" w:ascii="仿宋" w:hAnsi="仿宋" w:eastAsia="仿宋" w:cs="仿宋"/>
                <w:sz w:val="24"/>
                <w:szCs w:val="24"/>
              </w:rPr>
              <w:t>指</w:t>
            </w:r>
            <w:r>
              <w:rPr>
                <w:rFonts w:hint="eastAsia" w:ascii="仿宋" w:hAnsi="仿宋" w:eastAsia="仿宋" w:cs="仿宋"/>
                <w:spacing w:val="31"/>
                <w:w w:val="102"/>
                <w:sz w:val="24"/>
                <w:szCs w:val="24"/>
              </w:rPr>
              <w:t xml:space="preserve"> </w:t>
            </w:r>
            <w:r>
              <w:rPr>
                <w:rFonts w:hint="eastAsia" w:ascii="仿宋" w:hAnsi="仿宋" w:eastAsia="仿宋" w:cs="仿宋"/>
                <w:sz w:val="24"/>
                <w:szCs w:val="24"/>
              </w:rPr>
              <w:t>标</w:t>
            </w:r>
          </w:p>
        </w:tc>
        <w:tc>
          <w:tcPr>
            <w:tcW w:w="1489" w:type="dxa"/>
            <w:vMerge w:val="restart"/>
            <w:tcBorders>
              <w:top w:val="single" w:color="000000" w:sz="6" w:space="0"/>
              <w:right w:val="single" w:color="000000" w:sz="6" w:space="0"/>
            </w:tcBorders>
            <w:vAlign w:val="center"/>
          </w:tcPr>
          <w:p w14:paraId="584A9EFF">
            <w:pPr>
              <w:pStyle w:val="122"/>
              <w:spacing w:before="109" w:line="240" w:lineRule="auto"/>
              <w:jc w:val="center"/>
              <w:rPr>
                <w:rFonts w:hint="eastAsia" w:ascii="仿宋" w:hAnsi="仿宋" w:eastAsia="仿宋" w:cs="仿宋"/>
                <w:sz w:val="24"/>
                <w:szCs w:val="24"/>
              </w:rPr>
            </w:pPr>
            <w:r>
              <w:rPr>
                <w:rFonts w:hint="eastAsia" w:ascii="仿宋" w:hAnsi="仿宋" w:eastAsia="仿宋" w:cs="仿宋"/>
                <w:b w:val="0"/>
                <w:bCs/>
                <w:sz w:val="24"/>
                <w:szCs w:val="24"/>
              </w:rPr>
              <w:t>参数证明须提供第三方检测机构出具的产品检验报告并加盖供应商鲜章。</w:t>
            </w:r>
          </w:p>
        </w:tc>
      </w:tr>
      <w:tr w14:paraId="564AF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top w:val="single" w:color="000000" w:sz="6" w:space="0"/>
              <w:left w:val="single" w:color="000000" w:sz="6" w:space="0"/>
            </w:tcBorders>
            <w:vAlign w:val="center"/>
          </w:tcPr>
          <w:p w14:paraId="563852C0">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二氧化氯前体物的质量分数(以ClO₂计)/%</w:t>
            </w:r>
          </w:p>
        </w:tc>
        <w:tc>
          <w:tcPr>
            <w:tcW w:w="2377" w:type="dxa"/>
            <w:tcBorders>
              <w:top w:val="single" w:color="000000" w:sz="6" w:space="0"/>
              <w:right w:val="single" w:color="000000" w:sz="6" w:space="0"/>
            </w:tcBorders>
            <w:vAlign w:val="center"/>
          </w:tcPr>
          <w:p w14:paraId="2FCE7994">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0</w:t>
            </w:r>
          </w:p>
        </w:tc>
        <w:tc>
          <w:tcPr>
            <w:tcW w:w="1489" w:type="dxa"/>
            <w:vMerge w:val="continue"/>
            <w:tcBorders>
              <w:right w:val="single" w:color="000000" w:sz="6" w:space="0"/>
            </w:tcBorders>
            <w:vAlign w:val="center"/>
          </w:tcPr>
          <w:p w14:paraId="47BA0534">
            <w:pPr>
              <w:autoSpaceDE w:val="0"/>
              <w:spacing w:line="240" w:lineRule="auto"/>
              <w:jc w:val="left"/>
              <w:rPr>
                <w:rFonts w:hint="eastAsia" w:ascii="仿宋" w:hAnsi="仿宋" w:eastAsia="仿宋" w:cs="仿宋"/>
                <w:color w:val="000000"/>
                <w:sz w:val="24"/>
                <w:szCs w:val="24"/>
              </w:rPr>
            </w:pPr>
          </w:p>
        </w:tc>
      </w:tr>
      <w:tr w14:paraId="04BD4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tcBorders>
            <w:vAlign w:val="center"/>
          </w:tcPr>
          <w:p w14:paraId="74334AF2">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二氧化氯释放量与标识量a的比%</w:t>
            </w:r>
          </w:p>
        </w:tc>
        <w:tc>
          <w:tcPr>
            <w:tcW w:w="2377" w:type="dxa"/>
            <w:tcBorders>
              <w:right w:val="single" w:color="000000" w:sz="6" w:space="0"/>
            </w:tcBorders>
            <w:vAlign w:val="center"/>
          </w:tcPr>
          <w:p w14:paraId="7940D137">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90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110</w:t>
            </w:r>
          </w:p>
        </w:tc>
        <w:tc>
          <w:tcPr>
            <w:tcW w:w="1489" w:type="dxa"/>
            <w:vMerge w:val="continue"/>
            <w:tcBorders>
              <w:right w:val="single" w:color="000000" w:sz="6" w:space="0"/>
            </w:tcBorders>
            <w:vAlign w:val="center"/>
          </w:tcPr>
          <w:p w14:paraId="46F65ECA">
            <w:pPr>
              <w:autoSpaceDE w:val="0"/>
              <w:spacing w:line="240" w:lineRule="auto"/>
              <w:jc w:val="left"/>
              <w:rPr>
                <w:rFonts w:hint="eastAsia" w:ascii="仿宋" w:hAnsi="仿宋" w:eastAsia="仿宋" w:cs="仿宋"/>
                <w:color w:val="000000"/>
                <w:sz w:val="24"/>
                <w:szCs w:val="24"/>
              </w:rPr>
            </w:pPr>
          </w:p>
        </w:tc>
      </w:tr>
      <w:tr w14:paraId="59322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tcBorders>
            <w:vAlign w:val="center"/>
          </w:tcPr>
          <w:p w14:paraId="710F5B74">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稳定性(以二氧化氯前体物的质量分数下降率计)/%</w:t>
            </w:r>
          </w:p>
        </w:tc>
        <w:tc>
          <w:tcPr>
            <w:tcW w:w="2377" w:type="dxa"/>
            <w:tcBorders>
              <w:right w:val="single" w:color="000000" w:sz="6" w:space="0"/>
            </w:tcBorders>
            <w:vAlign w:val="center"/>
          </w:tcPr>
          <w:p w14:paraId="54DC55BE">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0</w:t>
            </w:r>
          </w:p>
        </w:tc>
        <w:tc>
          <w:tcPr>
            <w:tcW w:w="1489" w:type="dxa"/>
            <w:vMerge w:val="continue"/>
            <w:tcBorders>
              <w:right w:val="single" w:color="000000" w:sz="6" w:space="0"/>
            </w:tcBorders>
            <w:vAlign w:val="center"/>
          </w:tcPr>
          <w:p w14:paraId="5773BA33">
            <w:pPr>
              <w:autoSpaceDE w:val="0"/>
              <w:spacing w:line="240" w:lineRule="auto"/>
              <w:jc w:val="left"/>
              <w:rPr>
                <w:rFonts w:hint="eastAsia" w:ascii="仿宋" w:hAnsi="仿宋" w:eastAsia="仿宋" w:cs="仿宋"/>
                <w:color w:val="000000"/>
                <w:sz w:val="24"/>
                <w:szCs w:val="24"/>
              </w:rPr>
            </w:pPr>
          </w:p>
        </w:tc>
      </w:tr>
      <w:tr w14:paraId="7094B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tcBorders>
            <w:vAlign w:val="center"/>
          </w:tcPr>
          <w:p w14:paraId="7DE68A9C">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密度(20℃)/(g/cm</w:t>
            </w:r>
            <w:r>
              <w:rPr>
                <w:rFonts w:hint="eastAsia" w:ascii="仿宋" w:hAnsi="仿宋" w:eastAsia="仿宋" w:cs="仿宋"/>
                <w:color w:val="000000"/>
                <w:sz w:val="24"/>
                <w:szCs w:val="24"/>
                <w:vertAlign w:val="superscript"/>
              </w:rPr>
              <w:t>3</w:t>
            </w:r>
            <w:r>
              <w:rPr>
                <w:rFonts w:hint="eastAsia" w:ascii="仿宋" w:hAnsi="仿宋" w:eastAsia="仿宋" w:cs="仿宋"/>
                <w:color w:val="000000"/>
                <w:sz w:val="24"/>
                <w:szCs w:val="24"/>
              </w:rPr>
              <w:t xml:space="preserve"> )</w:t>
            </w:r>
          </w:p>
        </w:tc>
        <w:tc>
          <w:tcPr>
            <w:tcW w:w="2377" w:type="dxa"/>
            <w:tcBorders>
              <w:right w:val="single" w:color="000000" w:sz="6" w:space="0"/>
            </w:tcBorders>
            <w:vAlign w:val="center"/>
          </w:tcPr>
          <w:p w14:paraId="34977EAE">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020</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060</w:t>
            </w:r>
          </w:p>
        </w:tc>
        <w:tc>
          <w:tcPr>
            <w:tcW w:w="1489" w:type="dxa"/>
            <w:vMerge w:val="continue"/>
            <w:tcBorders>
              <w:right w:val="single" w:color="000000" w:sz="6" w:space="0"/>
            </w:tcBorders>
            <w:vAlign w:val="center"/>
          </w:tcPr>
          <w:p w14:paraId="1A7F5DE8">
            <w:pPr>
              <w:autoSpaceDE w:val="0"/>
              <w:spacing w:line="240" w:lineRule="auto"/>
              <w:jc w:val="left"/>
              <w:rPr>
                <w:rFonts w:hint="eastAsia" w:ascii="仿宋" w:hAnsi="仿宋" w:eastAsia="仿宋" w:cs="仿宋"/>
                <w:color w:val="000000"/>
                <w:sz w:val="24"/>
                <w:szCs w:val="24"/>
              </w:rPr>
            </w:pPr>
          </w:p>
        </w:tc>
      </w:tr>
      <w:tr w14:paraId="24D0D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tcBorders>
            <w:vAlign w:val="center"/>
          </w:tcPr>
          <w:p w14:paraId="2E781A0B">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PH</w:t>
            </w:r>
          </w:p>
        </w:tc>
        <w:tc>
          <w:tcPr>
            <w:tcW w:w="2377" w:type="dxa"/>
            <w:tcBorders>
              <w:right w:val="single" w:color="000000" w:sz="6" w:space="0"/>
            </w:tcBorders>
            <w:vAlign w:val="center"/>
          </w:tcPr>
          <w:p w14:paraId="27E86FE9">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9</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2</w:t>
            </w:r>
          </w:p>
        </w:tc>
        <w:tc>
          <w:tcPr>
            <w:tcW w:w="1489" w:type="dxa"/>
            <w:vMerge w:val="continue"/>
            <w:tcBorders>
              <w:right w:val="single" w:color="000000" w:sz="6" w:space="0"/>
            </w:tcBorders>
            <w:vAlign w:val="center"/>
          </w:tcPr>
          <w:p w14:paraId="2681C109">
            <w:pPr>
              <w:autoSpaceDE w:val="0"/>
              <w:spacing w:line="240" w:lineRule="auto"/>
              <w:jc w:val="left"/>
              <w:rPr>
                <w:rFonts w:hint="eastAsia" w:ascii="仿宋" w:hAnsi="仿宋" w:eastAsia="仿宋" w:cs="仿宋"/>
                <w:color w:val="000000"/>
                <w:sz w:val="24"/>
                <w:szCs w:val="24"/>
              </w:rPr>
            </w:pPr>
          </w:p>
        </w:tc>
      </w:tr>
      <w:tr w14:paraId="187A4F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tcBorders>
            <w:vAlign w:val="center"/>
          </w:tcPr>
          <w:p w14:paraId="7A55C34E">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砷的质量分数(以 As计)/%</w:t>
            </w:r>
          </w:p>
        </w:tc>
        <w:tc>
          <w:tcPr>
            <w:tcW w:w="2377" w:type="dxa"/>
            <w:tcBorders>
              <w:right w:val="single" w:color="000000" w:sz="6" w:space="0"/>
            </w:tcBorders>
            <w:vAlign w:val="center"/>
          </w:tcPr>
          <w:p w14:paraId="27AA49E0">
            <w:pPr>
              <w:autoSpaceDE w:val="0"/>
              <w:spacing w:line="240" w:lineRule="auto"/>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.0001</w:t>
            </w:r>
          </w:p>
        </w:tc>
        <w:tc>
          <w:tcPr>
            <w:tcW w:w="1489" w:type="dxa"/>
            <w:vMerge w:val="continue"/>
            <w:tcBorders>
              <w:right w:val="single" w:color="000000" w:sz="6" w:space="0"/>
            </w:tcBorders>
            <w:vAlign w:val="center"/>
          </w:tcPr>
          <w:p w14:paraId="7470DA5D">
            <w:pPr>
              <w:autoSpaceDE w:val="0"/>
              <w:spacing w:line="240" w:lineRule="auto"/>
              <w:jc w:val="left"/>
              <w:rPr>
                <w:rFonts w:hint="eastAsia" w:ascii="仿宋" w:hAnsi="仿宋" w:eastAsia="仿宋" w:cs="仿宋"/>
                <w:color w:val="000000"/>
                <w:sz w:val="24"/>
                <w:szCs w:val="24"/>
              </w:rPr>
            </w:pPr>
          </w:p>
        </w:tc>
      </w:tr>
      <w:tr w14:paraId="47839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320" w:type="dxa"/>
            <w:tcBorders>
              <w:left w:val="single" w:color="000000" w:sz="6" w:space="0"/>
              <w:bottom w:val="single" w:color="000000" w:sz="6" w:space="0"/>
            </w:tcBorders>
            <w:vAlign w:val="center"/>
          </w:tcPr>
          <w:p w14:paraId="3FC639D6">
            <w:pPr>
              <w:autoSpaceDE w:val="0"/>
              <w:spacing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重金属的质量分数(以 pb计)/%</w:t>
            </w:r>
          </w:p>
        </w:tc>
        <w:tc>
          <w:tcPr>
            <w:tcW w:w="2377" w:type="dxa"/>
            <w:tcBorders>
              <w:bottom w:val="single" w:color="000000" w:sz="6" w:space="0"/>
              <w:right w:val="single" w:color="000000" w:sz="6" w:space="0"/>
            </w:tcBorders>
            <w:vAlign w:val="center"/>
          </w:tcPr>
          <w:p w14:paraId="699347AB">
            <w:pPr>
              <w:autoSpaceDE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≤0</w:t>
            </w:r>
            <w:r>
              <w:rPr>
                <w:rFonts w:hint="eastAsia" w:ascii="仿宋" w:hAnsi="仿宋" w:eastAsia="仿宋" w:cs="仿宋"/>
                <w:color w:val="000000"/>
                <w:sz w:val="24"/>
                <w:szCs w:val="24"/>
                <w:lang w:val="en-US" w:eastAsia="zh-CN"/>
              </w:rPr>
              <w:t>.000</w:t>
            </w:r>
            <w:r>
              <w:rPr>
                <w:rFonts w:hint="eastAsia" w:ascii="仿宋" w:hAnsi="仿宋" w:eastAsia="仿宋" w:cs="仿宋"/>
                <w:color w:val="000000"/>
                <w:sz w:val="24"/>
                <w:szCs w:val="24"/>
              </w:rPr>
              <w:t>5</w:t>
            </w:r>
          </w:p>
        </w:tc>
        <w:tc>
          <w:tcPr>
            <w:tcW w:w="1489" w:type="dxa"/>
            <w:vMerge w:val="continue"/>
            <w:tcBorders>
              <w:bottom w:val="single" w:color="000000" w:sz="6" w:space="0"/>
              <w:right w:val="single" w:color="000000" w:sz="6" w:space="0"/>
            </w:tcBorders>
            <w:vAlign w:val="center"/>
          </w:tcPr>
          <w:p w14:paraId="256D5E3C">
            <w:pPr>
              <w:autoSpaceDE w:val="0"/>
              <w:spacing w:line="240" w:lineRule="auto"/>
              <w:jc w:val="left"/>
              <w:rPr>
                <w:rFonts w:hint="eastAsia" w:ascii="仿宋" w:hAnsi="仿宋" w:eastAsia="仿宋" w:cs="仿宋"/>
                <w:color w:val="000000"/>
                <w:sz w:val="24"/>
                <w:szCs w:val="24"/>
              </w:rPr>
            </w:pPr>
          </w:p>
        </w:tc>
      </w:tr>
      <w:tr w14:paraId="36D7F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9186" w:type="dxa"/>
            <w:gridSpan w:val="3"/>
            <w:tcBorders>
              <w:top w:val="single" w:color="000000" w:sz="6" w:space="0"/>
              <w:left w:val="single" w:color="000000" w:sz="6" w:space="0"/>
              <w:bottom w:val="single" w:color="000000" w:sz="6" w:space="0"/>
              <w:right w:val="single" w:color="000000" w:sz="6" w:space="0"/>
            </w:tcBorders>
            <w:vAlign w:val="center"/>
          </w:tcPr>
          <w:p w14:paraId="2682ED1B">
            <w:pPr>
              <w:autoSpaceDE w:val="0"/>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eastAsia="zh-CN"/>
              </w:rPr>
              <w:t>标识量为出厂前按产品使用说明书测得的二氧化氯释放量 , 并标识于产品包装或检验报告上 。</w:t>
            </w:r>
          </w:p>
          <w:p w14:paraId="6D130542">
            <w:pPr>
              <w:autoSpaceDE w:val="0"/>
              <w:spacing w:line="240" w:lineRule="auto"/>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lang w:eastAsia="zh-CN"/>
              </w:rPr>
              <w:t>供应商须保证“稳定性二氧化氯溶液”送至医院时可直接使用。</w:t>
            </w:r>
          </w:p>
          <w:p w14:paraId="36AB641A">
            <w:pPr>
              <w:autoSpaceDE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3.符合中华人民共和国国家标准GB/T 20783—2023《</w:t>
            </w:r>
            <w:r>
              <w:rPr>
                <w:rFonts w:hint="eastAsia" w:ascii="仿宋" w:hAnsi="仿宋" w:eastAsia="仿宋" w:cs="仿宋"/>
                <w:color w:val="000000"/>
                <w:sz w:val="24"/>
                <w:szCs w:val="24"/>
                <w:lang w:eastAsia="zh-CN"/>
              </w:rPr>
              <w:t>稳定性二氧化氯溶液》</w:t>
            </w:r>
          </w:p>
        </w:tc>
      </w:tr>
    </w:tbl>
    <w:p w14:paraId="60FB8A8F">
      <w:pPr>
        <w:pStyle w:val="23"/>
        <w:numPr>
          <w:ilvl w:val="-1"/>
          <w:numId w:val="0"/>
        </w:numPr>
        <w:spacing w:line="480" w:lineRule="auto"/>
        <w:ind w:left="0" w:leftChars="0"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lang w:eastAsia="zh-CN"/>
        </w:rPr>
        <w:t>（二）污水COD在线监测仪分析药</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375"/>
        <w:gridCol w:w="6630"/>
      </w:tblGrid>
      <w:tr w14:paraId="59D8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45F9F8FF">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序号</w:t>
            </w:r>
          </w:p>
        </w:tc>
        <w:tc>
          <w:tcPr>
            <w:tcW w:w="1425" w:type="dxa"/>
            <w:vAlign w:val="center"/>
          </w:tcPr>
          <w:p w14:paraId="0E150249">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名称</w:t>
            </w:r>
          </w:p>
        </w:tc>
        <w:tc>
          <w:tcPr>
            <w:tcW w:w="6923" w:type="dxa"/>
            <w:vAlign w:val="center"/>
          </w:tcPr>
          <w:p w14:paraId="4A75C44A">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指标</w:t>
            </w:r>
          </w:p>
        </w:tc>
      </w:tr>
      <w:tr w14:paraId="74A3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6D4B076C">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1</w:t>
            </w:r>
          </w:p>
        </w:tc>
        <w:tc>
          <w:tcPr>
            <w:tcW w:w="1425" w:type="dxa"/>
            <w:vAlign w:val="center"/>
          </w:tcPr>
          <w:p w14:paraId="7CBDBFC3">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产品名称</w:t>
            </w:r>
          </w:p>
        </w:tc>
        <w:tc>
          <w:tcPr>
            <w:tcW w:w="6923" w:type="dxa"/>
            <w:vAlign w:val="center"/>
          </w:tcPr>
          <w:p w14:paraId="1447E3D9">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COD在线分析仪药剂</w:t>
            </w:r>
          </w:p>
        </w:tc>
      </w:tr>
      <w:tr w14:paraId="7CB6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3DD5509E">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2</w:t>
            </w:r>
          </w:p>
        </w:tc>
        <w:tc>
          <w:tcPr>
            <w:tcW w:w="1425" w:type="dxa"/>
            <w:vAlign w:val="center"/>
          </w:tcPr>
          <w:p w14:paraId="212569CF">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规格</w:t>
            </w:r>
          </w:p>
        </w:tc>
        <w:tc>
          <w:tcPr>
            <w:tcW w:w="6923" w:type="dxa"/>
            <w:vAlign w:val="center"/>
          </w:tcPr>
          <w:p w14:paraId="43951EE8">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1套（包含COD试剂1 500mL,COD试剂2 500mL,COD标准溶液500mL）</w:t>
            </w:r>
          </w:p>
        </w:tc>
      </w:tr>
      <w:tr w14:paraId="5559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7102AC32">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3</w:t>
            </w:r>
          </w:p>
        </w:tc>
        <w:tc>
          <w:tcPr>
            <w:tcW w:w="1425" w:type="dxa"/>
            <w:vAlign w:val="center"/>
          </w:tcPr>
          <w:p w14:paraId="62F1E6D3">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使用次数</w:t>
            </w:r>
          </w:p>
        </w:tc>
        <w:tc>
          <w:tcPr>
            <w:tcW w:w="6923" w:type="dxa"/>
            <w:vAlign w:val="center"/>
          </w:tcPr>
          <w:p w14:paraId="7F02F83D">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约200次</w:t>
            </w:r>
          </w:p>
        </w:tc>
      </w:tr>
      <w:tr w14:paraId="33F9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7976DFA8">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4</w:t>
            </w:r>
          </w:p>
        </w:tc>
        <w:tc>
          <w:tcPr>
            <w:tcW w:w="1425" w:type="dxa"/>
            <w:vAlign w:val="center"/>
          </w:tcPr>
          <w:p w14:paraId="0059D860">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有效期</w:t>
            </w:r>
          </w:p>
        </w:tc>
        <w:tc>
          <w:tcPr>
            <w:tcW w:w="6923" w:type="dxa"/>
            <w:vAlign w:val="center"/>
          </w:tcPr>
          <w:p w14:paraId="4B917B04">
            <w:pPr>
              <w:widowControl/>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3个月</w:t>
            </w:r>
            <w:r>
              <w:rPr>
                <w:rFonts w:hint="eastAsia" w:ascii="仿宋" w:hAnsi="仿宋" w:eastAsia="仿宋" w:cs="仿宋"/>
                <w:color w:val="000000"/>
                <w:sz w:val="24"/>
                <w:szCs w:val="24"/>
                <w:lang w:val="en-US" w:eastAsia="zh-CN"/>
              </w:rPr>
              <w:t>及以上</w:t>
            </w:r>
          </w:p>
        </w:tc>
      </w:tr>
      <w:tr w14:paraId="417A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10" w:type="dxa"/>
            <w:vAlign w:val="center"/>
          </w:tcPr>
          <w:p w14:paraId="3663BD01">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b w:val="0"/>
                <w:bCs/>
                <w:sz w:val="24"/>
                <w:szCs w:val="24"/>
              </w:rPr>
              <w:t>5</w:t>
            </w:r>
          </w:p>
        </w:tc>
        <w:tc>
          <w:tcPr>
            <w:tcW w:w="8348" w:type="dxa"/>
            <w:gridSpan w:val="2"/>
            <w:vAlign w:val="center"/>
          </w:tcPr>
          <w:p w14:paraId="16271A63">
            <w:pPr>
              <w:autoSpaceDE w:val="0"/>
              <w:spacing w:line="24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供应商须保证“COD在线分析仪试剂”满足项目现场在线分析仪表使用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且符合</w:t>
            </w:r>
            <w:r>
              <w:rPr>
                <w:rFonts w:hint="eastAsia" w:ascii="仿宋" w:hAnsi="仿宋" w:eastAsia="仿宋" w:cs="仿宋"/>
                <w:color w:val="000000"/>
                <w:sz w:val="24"/>
                <w:szCs w:val="24"/>
              </w:rPr>
              <w:t>水质化学需氧量的测定重铬</w:t>
            </w:r>
            <w:r>
              <w:rPr>
                <w:rFonts w:hint="eastAsia" w:ascii="仿宋" w:hAnsi="仿宋" w:eastAsia="仿宋" w:cs="仿宋"/>
                <w:color w:val="000000"/>
                <w:sz w:val="24"/>
                <w:szCs w:val="24"/>
                <w:highlight w:val="none"/>
              </w:rPr>
              <w:t>酸盐法HJ 828—2017</w:t>
            </w:r>
            <w:r>
              <w:rPr>
                <w:rFonts w:hint="eastAsia" w:ascii="仿宋" w:hAnsi="仿宋" w:eastAsia="仿宋" w:cs="仿宋"/>
                <w:color w:val="000000"/>
                <w:sz w:val="24"/>
                <w:szCs w:val="24"/>
                <w:highlight w:val="none"/>
                <w:lang w:val="en-US" w:eastAsia="zh-CN"/>
              </w:rPr>
              <w:t>的标准要求</w:t>
            </w:r>
            <w:r>
              <w:rPr>
                <w:rFonts w:hint="eastAsia" w:ascii="仿宋" w:hAnsi="仿宋" w:eastAsia="仿宋" w:cs="仿宋"/>
                <w:color w:val="000000"/>
                <w:sz w:val="24"/>
                <w:szCs w:val="24"/>
                <w:lang w:val="en-US" w:eastAsia="zh-CN"/>
              </w:rPr>
              <w:t>。</w:t>
            </w:r>
          </w:p>
        </w:tc>
      </w:tr>
    </w:tbl>
    <w:p w14:paraId="124B7E83">
      <w:pPr>
        <w:ind w:firstLine="0" w:firstLineChars="0"/>
        <w:rPr>
          <w:rFonts w:hint="eastAsia" w:ascii="仿宋" w:hAnsi="仿宋" w:eastAsia="仿宋" w:cs="仿宋"/>
          <w:sz w:val="24"/>
          <w:szCs w:val="24"/>
        </w:rPr>
      </w:pPr>
    </w:p>
    <w:p w14:paraId="22506E6C">
      <w:pPr>
        <w:numPr>
          <w:ilvl w:val="-1"/>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（三）</w:t>
      </w:r>
      <w:r>
        <w:rPr>
          <w:rFonts w:hint="eastAsia" w:ascii="仿宋" w:hAnsi="仿宋" w:eastAsia="仿宋" w:cs="仿宋"/>
          <w:sz w:val="24"/>
          <w:szCs w:val="24"/>
        </w:rPr>
        <w:t>污水氨氮在线监测仪分析药剂</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4090"/>
        <w:gridCol w:w="3910"/>
      </w:tblGrid>
      <w:tr w14:paraId="5029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9" w:type="dxa"/>
            <w:vAlign w:val="center"/>
          </w:tcPr>
          <w:p w14:paraId="22292D1C">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序号</w:t>
            </w:r>
          </w:p>
        </w:tc>
        <w:tc>
          <w:tcPr>
            <w:tcW w:w="4328" w:type="dxa"/>
            <w:vAlign w:val="center"/>
          </w:tcPr>
          <w:p w14:paraId="587FA8E3">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名称</w:t>
            </w:r>
          </w:p>
        </w:tc>
        <w:tc>
          <w:tcPr>
            <w:tcW w:w="4069" w:type="dxa"/>
            <w:vAlign w:val="center"/>
          </w:tcPr>
          <w:p w14:paraId="7B61E57B">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指标</w:t>
            </w:r>
          </w:p>
        </w:tc>
      </w:tr>
      <w:tr w14:paraId="73FB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9" w:type="dxa"/>
            <w:vAlign w:val="center"/>
          </w:tcPr>
          <w:p w14:paraId="309AD53B">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1</w:t>
            </w:r>
          </w:p>
        </w:tc>
        <w:tc>
          <w:tcPr>
            <w:tcW w:w="4328" w:type="dxa"/>
            <w:vAlign w:val="center"/>
          </w:tcPr>
          <w:p w14:paraId="4A41080A">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产品名称</w:t>
            </w:r>
          </w:p>
        </w:tc>
        <w:tc>
          <w:tcPr>
            <w:tcW w:w="4069" w:type="dxa"/>
            <w:vAlign w:val="center"/>
          </w:tcPr>
          <w:p w14:paraId="30ACDB3F">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NH</w:t>
            </w:r>
            <w:r>
              <w:rPr>
                <w:rFonts w:hint="eastAsia" w:ascii="仿宋" w:hAnsi="仿宋" w:eastAsia="仿宋" w:cs="仿宋"/>
                <w:color w:val="000000"/>
                <w:sz w:val="24"/>
                <w:szCs w:val="24"/>
                <w:vertAlign w:val="subscript"/>
              </w:rPr>
              <w:t>3</w:t>
            </w:r>
            <w:r>
              <w:rPr>
                <w:rFonts w:hint="eastAsia" w:ascii="仿宋" w:hAnsi="仿宋" w:eastAsia="仿宋" w:cs="仿宋"/>
                <w:color w:val="000000"/>
                <w:sz w:val="24"/>
                <w:szCs w:val="24"/>
              </w:rPr>
              <w:t>-N在线分析仪药剂</w:t>
            </w:r>
          </w:p>
        </w:tc>
      </w:tr>
      <w:tr w14:paraId="3BE08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19" w:type="dxa"/>
            <w:vAlign w:val="center"/>
          </w:tcPr>
          <w:p w14:paraId="64EBE8BE">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2</w:t>
            </w:r>
          </w:p>
        </w:tc>
        <w:tc>
          <w:tcPr>
            <w:tcW w:w="4328" w:type="dxa"/>
            <w:vAlign w:val="center"/>
          </w:tcPr>
          <w:p w14:paraId="3BB974CE">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规格</w:t>
            </w:r>
          </w:p>
        </w:tc>
        <w:tc>
          <w:tcPr>
            <w:tcW w:w="4069" w:type="dxa"/>
            <w:vAlign w:val="center"/>
          </w:tcPr>
          <w:p w14:paraId="32233D0B">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1套（包含NH3-N试剂1 500mL,NH</w:t>
            </w:r>
            <w:r>
              <w:rPr>
                <w:rFonts w:hint="eastAsia" w:ascii="仿宋" w:hAnsi="仿宋" w:eastAsia="仿宋" w:cs="仿宋"/>
                <w:color w:val="000000"/>
                <w:sz w:val="24"/>
                <w:szCs w:val="24"/>
                <w:vertAlign w:val="subscript"/>
              </w:rPr>
              <w:t>3</w:t>
            </w:r>
            <w:r>
              <w:rPr>
                <w:rFonts w:hint="eastAsia" w:ascii="仿宋" w:hAnsi="仿宋" w:eastAsia="仿宋" w:cs="仿宋"/>
                <w:color w:val="000000"/>
                <w:sz w:val="24"/>
                <w:szCs w:val="24"/>
              </w:rPr>
              <w:t>-N试剂2500mL,NH</w:t>
            </w:r>
            <w:r>
              <w:rPr>
                <w:rFonts w:hint="eastAsia" w:ascii="仿宋" w:hAnsi="仿宋" w:eastAsia="仿宋" w:cs="仿宋"/>
                <w:color w:val="000000"/>
                <w:sz w:val="24"/>
                <w:szCs w:val="24"/>
                <w:vertAlign w:val="subscript"/>
              </w:rPr>
              <w:t>3</w:t>
            </w:r>
            <w:r>
              <w:rPr>
                <w:rFonts w:hint="eastAsia" w:ascii="仿宋" w:hAnsi="仿宋" w:eastAsia="仿宋" w:cs="仿宋"/>
                <w:color w:val="000000"/>
                <w:sz w:val="24"/>
                <w:szCs w:val="24"/>
              </w:rPr>
              <w:t>-N标准溶液500mL）</w:t>
            </w:r>
          </w:p>
        </w:tc>
      </w:tr>
      <w:tr w14:paraId="0A56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9" w:type="dxa"/>
            <w:vAlign w:val="center"/>
          </w:tcPr>
          <w:p w14:paraId="28CA1129">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3</w:t>
            </w:r>
          </w:p>
        </w:tc>
        <w:tc>
          <w:tcPr>
            <w:tcW w:w="4328" w:type="dxa"/>
            <w:vAlign w:val="center"/>
          </w:tcPr>
          <w:p w14:paraId="14BD0573">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使用次数</w:t>
            </w:r>
          </w:p>
        </w:tc>
        <w:tc>
          <w:tcPr>
            <w:tcW w:w="4069" w:type="dxa"/>
            <w:vAlign w:val="center"/>
          </w:tcPr>
          <w:p w14:paraId="65C782E3">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约200次</w:t>
            </w:r>
          </w:p>
        </w:tc>
      </w:tr>
      <w:tr w14:paraId="4DFEB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919" w:type="dxa"/>
            <w:vAlign w:val="center"/>
          </w:tcPr>
          <w:p w14:paraId="2658BEF1">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4</w:t>
            </w:r>
          </w:p>
        </w:tc>
        <w:tc>
          <w:tcPr>
            <w:tcW w:w="4328" w:type="dxa"/>
            <w:vAlign w:val="center"/>
          </w:tcPr>
          <w:p w14:paraId="414135B3">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有效期</w:t>
            </w:r>
          </w:p>
        </w:tc>
        <w:tc>
          <w:tcPr>
            <w:tcW w:w="4069" w:type="dxa"/>
            <w:vAlign w:val="center"/>
          </w:tcPr>
          <w:p w14:paraId="20103556">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3个月</w:t>
            </w:r>
            <w:r>
              <w:rPr>
                <w:rFonts w:hint="eastAsia" w:ascii="仿宋" w:hAnsi="仿宋" w:eastAsia="仿宋" w:cs="仿宋"/>
                <w:color w:val="000000"/>
                <w:sz w:val="24"/>
                <w:szCs w:val="24"/>
                <w:lang w:val="en-US" w:eastAsia="zh-CN"/>
              </w:rPr>
              <w:t>及以上</w:t>
            </w:r>
          </w:p>
        </w:tc>
      </w:tr>
      <w:tr w14:paraId="34DD4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9" w:type="dxa"/>
            <w:vAlign w:val="center"/>
          </w:tcPr>
          <w:p w14:paraId="2F39A4D3">
            <w:pPr>
              <w:widowControl/>
              <w:spacing w:line="360" w:lineRule="auto"/>
              <w:jc w:val="center"/>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5</w:t>
            </w:r>
          </w:p>
        </w:tc>
        <w:tc>
          <w:tcPr>
            <w:tcW w:w="8397" w:type="dxa"/>
            <w:gridSpan w:val="2"/>
            <w:vAlign w:val="center"/>
          </w:tcPr>
          <w:p w14:paraId="244686FD">
            <w:pPr>
              <w:widowControl/>
              <w:spacing w:line="240" w:lineRule="auto"/>
              <w:rPr>
                <w:rFonts w:hint="eastAsia" w:ascii="仿宋" w:hAnsi="仿宋" w:eastAsia="仿宋" w:cs="仿宋"/>
                <w:b/>
                <w:bCs/>
                <w:color w:val="auto"/>
                <w:sz w:val="24"/>
                <w:szCs w:val="24"/>
                <w:vertAlign w:val="baseline"/>
                <w:lang w:val="en-US" w:eastAsia="zh-CN"/>
              </w:rPr>
            </w:pPr>
            <w:r>
              <w:rPr>
                <w:rFonts w:hint="eastAsia" w:ascii="仿宋" w:hAnsi="仿宋" w:eastAsia="仿宋" w:cs="仿宋"/>
                <w:color w:val="000000"/>
                <w:sz w:val="24"/>
                <w:szCs w:val="24"/>
              </w:rPr>
              <w:t>供应商须保证“NH3-N在线分析仪试剂”满足项目现场在线分析仪表使用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且符合</w:t>
            </w:r>
            <w:r>
              <w:rPr>
                <w:rFonts w:hint="eastAsia" w:ascii="仿宋" w:hAnsi="仿宋" w:eastAsia="仿宋" w:cs="仿宋"/>
                <w:color w:val="000000"/>
                <w:sz w:val="24"/>
                <w:szCs w:val="24"/>
              </w:rPr>
              <w:t>水质氨氮的测定水杨酸分光光</w:t>
            </w:r>
            <w:r>
              <w:rPr>
                <w:rFonts w:hint="eastAsia" w:ascii="仿宋" w:hAnsi="仿宋" w:eastAsia="仿宋" w:cs="仿宋"/>
                <w:color w:val="000000"/>
                <w:sz w:val="24"/>
                <w:szCs w:val="24"/>
                <w:highlight w:val="none"/>
              </w:rPr>
              <w:t>度法HJ 536-2009</w:t>
            </w:r>
            <w:r>
              <w:rPr>
                <w:rFonts w:hint="eastAsia" w:ascii="仿宋" w:hAnsi="仿宋" w:eastAsia="仿宋" w:cs="仿宋"/>
                <w:color w:val="000000"/>
                <w:sz w:val="24"/>
                <w:szCs w:val="24"/>
                <w:highlight w:val="none"/>
                <w:lang w:val="en-US" w:eastAsia="zh-CN"/>
              </w:rPr>
              <w:t>的标准</w:t>
            </w:r>
            <w:r>
              <w:rPr>
                <w:rFonts w:hint="eastAsia" w:ascii="仿宋" w:hAnsi="仿宋" w:eastAsia="仿宋" w:cs="仿宋"/>
                <w:color w:val="000000"/>
                <w:sz w:val="24"/>
                <w:szCs w:val="24"/>
                <w:lang w:val="en-US" w:eastAsia="zh-CN"/>
              </w:rPr>
              <w:t>要求。</w:t>
            </w:r>
          </w:p>
        </w:tc>
      </w:tr>
    </w:tbl>
    <w:p w14:paraId="33606D4D">
      <w:pPr>
        <w:spacing w:line="240" w:lineRule="auto"/>
        <w:ind w:firstLine="482" w:firstLineChars="200"/>
        <w:outlineLvl w:val="9"/>
        <w:rPr>
          <w:rFonts w:hint="eastAsia" w:ascii="仿宋" w:hAnsi="仿宋" w:eastAsia="仿宋" w:cs="仿宋"/>
          <w:b/>
          <w:bCs/>
          <w:color w:val="auto"/>
          <w:sz w:val="24"/>
          <w:szCs w:val="24"/>
          <w:lang w:val="en-US" w:eastAsia="zh-CN"/>
        </w:rPr>
      </w:pPr>
    </w:p>
    <w:p w14:paraId="321D16BF">
      <w:pPr>
        <w:numPr>
          <w:ilvl w:val="-1"/>
          <w:numId w:val="0"/>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（四）余氯在线监测仪电解液</w:t>
      </w:r>
      <w:bookmarkStart w:id="151" w:name="_GoBack"/>
      <w:bookmarkEnd w:id="151"/>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4946"/>
        <w:gridCol w:w="3014"/>
      </w:tblGrid>
      <w:tr w14:paraId="4408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center"/>
          </w:tcPr>
          <w:p w14:paraId="648A3511">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序号</w:t>
            </w:r>
          </w:p>
        </w:tc>
        <w:tc>
          <w:tcPr>
            <w:tcW w:w="5179" w:type="dxa"/>
            <w:vAlign w:val="top"/>
          </w:tcPr>
          <w:p w14:paraId="1DB99ADB">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名称</w:t>
            </w:r>
          </w:p>
        </w:tc>
        <w:tc>
          <w:tcPr>
            <w:tcW w:w="3127" w:type="dxa"/>
            <w:vAlign w:val="top"/>
          </w:tcPr>
          <w:p w14:paraId="458A0981">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指标</w:t>
            </w:r>
          </w:p>
        </w:tc>
      </w:tr>
      <w:tr w14:paraId="01C6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center"/>
          </w:tcPr>
          <w:p w14:paraId="1430DF57">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1</w:t>
            </w:r>
          </w:p>
        </w:tc>
        <w:tc>
          <w:tcPr>
            <w:tcW w:w="5179" w:type="dxa"/>
            <w:vAlign w:val="top"/>
          </w:tcPr>
          <w:p w14:paraId="0D683478">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产品名称</w:t>
            </w:r>
          </w:p>
        </w:tc>
        <w:tc>
          <w:tcPr>
            <w:tcW w:w="3127" w:type="dxa"/>
            <w:vAlign w:val="top"/>
          </w:tcPr>
          <w:p w14:paraId="1D4F766B">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余氯在线监测仪电解液</w:t>
            </w:r>
          </w:p>
        </w:tc>
      </w:tr>
      <w:tr w14:paraId="5372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top"/>
          </w:tcPr>
          <w:p w14:paraId="196D4AB9">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2</w:t>
            </w:r>
          </w:p>
        </w:tc>
        <w:tc>
          <w:tcPr>
            <w:tcW w:w="5179" w:type="dxa"/>
            <w:vAlign w:val="top"/>
          </w:tcPr>
          <w:p w14:paraId="3FF7C0CB">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规格</w:t>
            </w:r>
          </w:p>
        </w:tc>
        <w:tc>
          <w:tcPr>
            <w:tcW w:w="3127" w:type="dxa"/>
            <w:vAlign w:val="top"/>
          </w:tcPr>
          <w:p w14:paraId="0DDD3A0F">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10mL/瓶</w:t>
            </w:r>
          </w:p>
        </w:tc>
      </w:tr>
      <w:tr w14:paraId="30E9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top"/>
          </w:tcPr>
          <w:p w14:paraId="018411DF">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3</w:t>
            </w:r>
          </w:p>
        </w:tc>
        <w:tc>
          <w:tcPr>
            <w:tcW w:w="5179" w:type="dxa"/>
            <w:vAlign w:val="top"/>
          </w:tcPr>
          <w:p w14:paraId="05B18465">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lang w:val="en-US" w:eastAsia="zh-CN"/>
              </w:rPr>
              <w:t>更</w:t>
            </w:r>
            <w:r>
              <w:rPr>
                <w:rFonts w:hint="eastAsia" w:ascii="仿宋" w:hAnsi="仿宋" w:eastAsia="仿宋" w:cs="仿宋"/>
                <w:color w:val="000000"/>
                <w:sz w:val="24"/>
                <w:szCs w:val="24"/>
              </w:rPr>
              <w:t>换周期</w:t>
            </w:r>
          </w:p>
        </w:tc>
        <w:tc>
          <w:tcPr>
            <w:tcW w:w="3127" w:type="dxa"/>
            <w:vAlign w:val="center"/>
          </w:tcPr>
          <w:p w14:paraId="0C24D2BF">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3个月</w:t>
            </w:r>
          </w:p>
        </w:tc>
      </w:tr>
      <w:tr w14:paraId="49113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top"/>
          </w:tcPr>
          <w:p w14:paraId="177B7930">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4</w:t>
            </w:r>
          </w:p>
        </w:tc>
        <w:tc>
          <w:tcPr>
            <w:tcW w:w="5179" w:type="dxa"/>
            <w:vAlign w:val="top"/>
          </w:tcPr>
          <w:p w14:paraId="23C92F47">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有效期</w:t>
            </w:r>
          </w:p>
        </w:tc>
        <w:tc>
          <w:tcPr>
            <w:tcW w:w="3127" w:type="dxa"/>
            <w:vAlign w:val="top"/>
          </w:tcPr>
          <w:p w14:paraId="13BEE42C">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3个月</w:t>
            </w:r>
            <w:r>
              <w:rPr>
                <w:rFonts w:hint="eastAsia" w:ascii="仿宋" w:hAnsi="仿宋" w:eastAsia="仿宋" w:cs="仿宋"/>
                <w:color w:val="000000"/>
                <w:sz w:val="24"/>
                <w:szCs w:val="24"/>
                <w:lang w:val="en-US" w:eastAsia="zh-CN"/>
              </w:rPr>
              <w:t>及以上</w:t>
            </w:r>
          </w:p>
        </w:tc>
      </w:tr>
      <w:tr w14:paraId="22B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6" w:type="dxa"/>
            <w:vAlign w:val="center"/>
          </w:tcPr>
          <w:p w14:paraId="2FC71581">
            <w:pPr>
              <w:widowControl/>
              <w:spacing w:line="360" w:lineRule="auto"/>
              <w:jc w:val="center"/>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5</w:t>
            </w:r>
          </w:p>
        </w:tc>
        <w:tc>
          <w:tcPr>
            <w:tcW w:w="8306" w:type="dxa"/>
            <w:gridSpan w:val="2"/>
            <w:vAlign w:val="center"/>
          </w:tcPr>
          <w:p w14:paraId="033783EA">
            <w:pPr>
              <w:widowControl/>
              <w:spacing w:line="360" w:lineRule="auto"/>
              <w:rPr>
                <w:rFonts w:hint="eastAsia" w:ascii="仿宋" w:hAnsi="仿宋" w:eastAsia="仿宋" w:cs="仿宋"/>
                <w:color w:val="000000"/>
                <w:sz w:val="24"/>
                <w:vertAlign w:val="baseline"/>
                <w:lang w:eastAsia="zh-CN"/>
              </w:rPr>
            </w:pPr>
            <w:r>
              <w:rPr>
                <w:rFonts w:hint="eastAsia" w:ascii="仿宋" w:hAnsi="仿宋" w:eastAsia="仿宋" w:cs="仿宋"/>
                <w:color w:val="000000"/>
                <w:sz w:val="24"/>
                <w:szCs w:val="24"/>
              </w:rPr>
              <w:t>供应商须保证“余氯在线监测仪电解液”满足项目现场在线分析仪表使用。</w:t>
            </w:r>
          </w:p>
        </w:tc>
      </w:tr>
    </w:tbl>
    <w:p w14:paraId="25109C53">
      <w:pPr>
        <w:spacing w:line="360" w:lineRule="auto"/>
        <w:ind w:firstLine="0" w:firstLineChars="0"/>
        <w:outlineLvl w:val="9"/>
        <w:rPr>
          <w:rFonts w:hint="eastAsia" w:ascii="仿宋" w:hAnsi="仿宋" w:eastAsia="仿宋" w:cs="仿宋"/>
          <w:b/>
          <w:bCs/>
          <w:color w:val="auto"/>
          <w:sz w:val="24"/>
          <w:szCs w:val="24"/>
          <w:lang w:val="en-US" w:eastAsia="zh-CN"/>
        </w:rPr>
      </w:pPr>
    </w:p>
    <w:p w14:paraId="3F75FE4D">
      <w:pPr>
        <w:spacing w:line="360" w:lineRule="auto"/>
        <w:ind w:firstLine="482" w:firstLineChars="200"/>
        <w:outlineLvl w:val="9"/>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（二）服务要求</w:t>
      </w:r>
    </w:p>
    <w:p w14:paraId="12F1C7A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1.供应商提供医院污水处理消毒药剂的加药及储药装置，并负责污水处理设备的保养、维护、维修，在响应时提供维保方案。</w:t>
      </w:r>
    </w:p>
    <w:p w14:paraId="7042508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货物应满足医院环保要求，接到医院的电话通知，10分钟响应，半小时到医院现场。供应商需在12小时内解决医院污水出现异常问题，在线监测仪如出现异常问题需维修，则根据市场价核定材料费500元以内供应商解决，500元以上只收取材料费并在24小时内完成维修。负责污水处理设备保养、维护。</w:t>
      </w:r>
    </w:p>
    <w:p w14:paraId="24F8807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3.为保证消毒剂配送及时性，供应商须在响应时提供符合医院实际情况的详细配送方案。</w:t>
      </w:r>
    </w:p>
    <w:p w14:paraId="6D3EE2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4.供应商供货期限内向采购人提供不少于一次第三方水质检测，并提供书面报告，产生的费用由供应商承担</w:t>
      </w:r>
      <w:r>
        <w:rPr>
          <w:rFonts w:hint="eastAsia" w:ascii="仿宋" w:hAnsi="仿宋" w:eastAsia="仿宋" w:cs="仿宋"/>
          <w:b/>
          <w:bCs/>
          <w:color w:val="auto"/>
          <w:spacing w:val="0"/>
          <w:w w:val="100"/>
          <w:position w:val="0"/>
          <w:sz w:val="24"/>
          <w:szCs w:val="24"/>
          <w:highlight w:val="none"/>
          <w:shd w:val="clear" w:color="auto" w:fill="auto"/>
          <w:lang w:val="en-US" w:eastAsia="zh-CN"/>
        </w:rPr>
        <w:t>（单独提供承诺函，格式自拟）。</w:t>
      </w:r>
    </w:p>
    <w:p w14:paraId="7BBC3C2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bCs/>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5.供应商保证医院在本次采购数量内的稳定性二氧化氯溶液供应不间断</w:t>
      </w:r>
      <w:r>
        <w:rPr>
          <w:rFonts w:hint="eastAsia" w:ascii="仿宋" w:hAnsi="仿宋" w:eastAsia="仿宋" w:cs="仿宋"/>
          <w:b/>
          <w:bCs/>
          <w:color w:val="auto"/>
          <w:spacing w:val="0"/>
          <w:w w:val="100"/>
          <w:position w:val="0"/>
          <w:sz w:val="24"/>
          <w:szCs w:val="24"/>
          <w:highlight w:val="none"/>
          <w:shd w:val="clear" w:color="auto" w:fill="auto"/>
          <w:lang w:val="en-US" w:eastAsia="zh-CN"/>
        </w:rPr>
        <w:t>（单独提供承诺函，格式自拟）。</w:t>
      </w:r>
    </w:p>
    <w:p w14:paraId="255287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b/>
          <w:bCs/>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6.接医院电话通知起，24小时内将货物送至医院内指定地点并灌装完成</w:t>
      </w:r>
      <w:r>
        <w:rPr>
          <w:rFonts w:hint="eastAsia" w:ascii="仿宋" w:hAnsi="仿宋" w:eastAsia="仿宋" w:cs="仿宋"/>
          <w:b/>
          <w:bCs/>
          <w:color w:val="auto"/>
          <w:spacing w:val="0"/>
          <w:w w:val="100"/>
          <w:position w:val="0"/>
          <w:sz w:val="24"/>
          <w:szCs w:val="24"/>
          <w:highlight w:val="none"/>
          <w:shd w:val="clear" w:color="auto" w:fill="auto"/>
          <w:lang w:val="en-US" w:eastAsia="zh-CN"/>
        </w:rPr>
        <w:t>（单独提供承诺函，格式自拟）。</w:t>
      </w:r>
    </w:p>
    <w:p w14:paraId="38522C47">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7.质量要求：</w:t>
      </w:r>
    </w:p>
    <w:p w14:paraId="60FD8F9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7.1供应商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14:paraId="7F4A0E9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7.2供应商提供的产品必须符合或优于国家标准、行业标准、地方标准等标准、规范，以及谈判文件的质量要求和技术指标与出厂标准。</w:t>
      </w:r>
    </w:p>
    <w:p w14:paraId="5193B96D">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7.3货物质量出现问题，供应商应负责三包(包修、包换、包退)，费用由供应商负担，采购人有权到产品生产厂家生产场地检查货物质量和生产进度。</w:t>
      </w:r>
    </w:p>
    <w:p w14:paraId="4AF3E15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7.4货到现场交付完成后由于采购人保管不当造成的质量问题，供应商亦应负责修理，但费用由采购人负担。</w:t>
      </w:r>
    </w:p>
    <w:p w14:paraId="5FFC3220">
      <w:pP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br w:type="page"/>
      </w:r>
    </w:p>
    <w:p w14:paraId="6ECA5DF0">
      <w:pPr>
        <w:pStyle w:val="3"/>
        <w:ind w:left="0" w:leftChars="0" w:firstLine="0" w:firstLineChars="0"/>
        <w:rPr>
          <w:rFonts w:hint="eastAsia" w:ascii="仿宋" w:hAnsi="仿宋" w:eastAsia="仿宋" w:cs="仿宋"/>
          <w:lang w:val="en-US" w:eastAsia="zh-CN"/>
        </w:rPr>
      </w:pPr>
    </w:p>
    <w:p w14:paraId="0CECF447">
      <w:pPr>
        <w:spacing w:line="360" w:lineRule="auto"/>
        <w:ind w:firstLine="482" w:firstLineChars="200"/>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、商务要求</w:t>
      </w:r>
    </w:p>
    <w:bookmarkEnd w:id="36"/>
    <w:bookmarkEnd w:id="37"/>
    <w:bookmarkEnd w:id="38"/>
    <w:p w14:paraId="19A60FCA">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bookmarkStart w:id="39" w:name="_Toc7836"/>
      <w:bookmarkStart w:id="40" w:name="_Toc25073"/>
      <w:bookmarkStart w:id="41" w:name="_Toc4978"/>
      <w:bookmarkStart w:id="42" w:name="_Toc6413"/>
      <w:bookmarkStart w:id="43" w:name="_Toc21698"/>
      <w:r>
        <w:rPr>
          <w:rFonts w:hint="eastAsia" w:ascii="仿宋" w:hAnsi="仿宋" w:eastAsia="仿宋" w:cs="仿宋"/>
          <w:b w:val="0"/>
          <w:bCs w:val="0"/>
          <w:color w:val="auto"/>
          <w:sz w:val="24"/>
          <w:szCs w:val="24"/>
          <w:highlight w:val="none"/>
          <w:shd w:val="clear" w:color="auto" w:fill="auto"/>
          <w:lang w:val="en-US" w:eastAsia="zh-CN"/>
        </w:rPr>
        <w:t>1.合同签订：成交通知书发出之日起30日内签订合同。</w:t>
      </w:r>
    </w:p>
    <w:p w14:paraId="15F60004">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2.供货期限：一年（自合同签订生效之日起计算）。</w:t>
      </w:r>
    </w:p>
    <w:p w14:paraId="570B5BCE">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3.交货地点：供应商根据采购人需求送货至采购人指定地点（含富达路院区、同心院区和其他临时地点）。</w:t>
      </w:r>
    </w:p>
    <w:p w14:paraId="6A546A3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付款方式：（1）按月实际用量结算，次月收到发票后30日内，支付上月结算货款。（2）付款前，供应商须向采购人出具合法有效完整的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14:paraId="39BC1AB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zh-CN"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5.报价要求：</w:t>
      </w:r>
      <w:r>
        <w:rPr>
          <w:rFonts w:hint="eastAsia" w:ascii="仿宋" w:hAnsi="仿宋" w:eastAsia="仿宋" w:cs="仿宋"/>
          <w:color w:val="auto"/>
          <w:spacing w:val="0"/>
          <w:w w:val="100"/>
          <w:position w:val="0"/>
          <w:sz w:val="24"/>
          <w:szCs w:val="24"/>
          <w:highlight w:val="none"/>
          <w:shd w:val="clear" w:color="auto" w:fill="auto"/>
          <w:lang w:val="zh-CN" w:eastAsia="zh-CN"/>
        </w:rPr>
        <w:t>本次报价应包括人工、设备、管理费、税费、安装、调试等完成本项目所需一切费用。</w:t>
      </w:r>
    </w:p>
    <w:p w14:paraId="56058E3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6.包装方式及运输要求：供应商应当按照约定的方式交付标的物。对于包装方式没有约定或者约定不明确的，应当按照通用的方式包装；没有通用方式的，应当采取足以保护标的物且有利于节约资源，保护生态环境的包装方式。</w:t>
      </w:r>
    </w:p>
    <w:p w14:paraId="5D6392ED">
      <w:pPr>
        <w:pStyle w:val="2"/>
        <w:spacing w:line="360" w:lineRule="auto"/>
        <w:ind w:firstLine="480" w:firstLineChars="200"/>
        <w:rPr>
          <w:rFonts w:hint="eastAsia" w:ascii="仿宋" w:hAnsi="仿宋" w:eastAsia="仿宋" w:cs="仿宋"/>
          <w:bCs w:val="0"/>
          <w:color w:val="auto"/>
          <w:spacing w:val="0"/>
          <w:w w:val="100"/>
          <w:kern w:val="2"/>
          <w:position w:val="0"/>
          <w:sz w:val="24"/>
          <w:szCs w:val="24"/>
          <w:highlight w:val="none"/>
          <w:shd w:val="clear" w:color="auto" w:fill="auto"/>
          <w:lang w:val="en-US" w:eastAsia="zh-CN" w:bidi="ar-SA"/>
        </w:rPr>
      </w:pPr>
      <w:r>
        <w:rPr>
          <w:rFonts w:hint="eastAsia" w:ascii="仿宋" w:hAnsi="仿宋" w:eastAsia="仿宋" w:cs="仿宋"/>
          <w:bCs w:val="0"/>
          <w:color w:val="auto"/>
          <w:spacing w:val="0"/>
          <w:w w:val="100"/>
          <w:kern w:val="2"/>
          <w:position w:val="0"/>
          <w:sz w:val="24"/>
          <w:szCs w:val="24"/>
          <w:highlight w:val="none"/>
          <w:shd w:val="clear" w:color="auto" w:fill="auto"/>
          <w:lang w:val="en-US" w:eastAsia="zh-CN" w:bidi="ar-SA"/>
        </w:rPr>
        <w:t>7.提供不少于3个类似本项目销售业绩的中标通知书或合同复印件。</w:t>
      </w:r>
    </w:p>
    <w:p w14:paraId="71AF450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8.供应商应按照化学品运输规范及相关要求，负责货物运输、灌装安全，若在运输和灌装中出现安全事故由供应商全面负责。</w:t>
      </w:r>
    </w:p>
    <w:p w14:paraId="01F9603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rPr>
      </w:pPr>
      <w:r>
        <w:rPr>
          <w:rFonts w:hint="eastAsia" w:ascii="仿宋" w:hAnsi="仿宋" w:eastAsia="仿宋" w:cs="仿宋"/>
          <w:color w:val="auto"/>
          <w:spacing w:val="0"/>
          <w:w w:val="100"/>
          <w:position w:val="0"/>
          <w:sz w:val="24"/>
          <w:szCs w:val="24"/>
          <w:highlight w:val="none"/>
          <w:shd w:val="clear" w:color="auto" w:fill="auto"/>
          <w:lang w:val="en-US" w:eastAsia="zh-CN"/>
        </w:rPr>
        <w:t>9.验收标准：本项目采购人将严格参照《财政部关于进一步加强政府采购需求和履约验收管理的指导意见》(财库〔2016〕205号)和采购人相关要求进行验收。</w:t>
      </w:r>
      <w:bookmarkEnd w:id="39"/>
    </w:p>
    <w:p w14:paraId="218D8DC5">
      <w:pPr>
        <w:keepNext w:val="0"/>
        <w:spacing w:line="360" w:lineRule="auto"/>
        <w:ind w:firstLine="474" w:firstLineChars="200"/>
        <w:jc w:val="left"/>
        <w:outlineLvl w:val="9"/>
        <w:rPr>
          <w:rFonts w:hint="eastAsia" w:ascii="仿宋" w:hAnsi="仿宋" w:eastAsia="仿宋" w:cs="仿宋"/>
          <w:b/>
          <w:bCs/>
          <w:color w:val="000000"/>
          <w:spacing w:val="-2"/>
          <w:sz w:val="24"/>
          <w:szCs w:val="24"/>
        </w:rPr>
      </w:pPr>
    </w:p>
    <w:p w14:paraId="74723108">
      <w:pPr>
        <w:keepNext w:val="0"/>
        <w:spacing w:line="360" w:lineRule="auto"/>
        <w:ind w:firstLine="474" w:firstLineChars="200"/>
        <w:jc w:val="left"/>
        <w:outlineLvl w:val="9"/>
        <w:rPr>
          <w:rFonts w:hint="eastAsia" w:ascii="仿宋" w:hAnsi="仿宋" w:eastAsia="仿宋" w:cs="仿宋"/>
          <w:b/>
          <w:bCs/>
          <w:color w:val="000000"/>
          <w:spacing w:val="-2"/>
          <w:sz w:val="24"/>
          <w:szCs w:val="24"/>
          <w:lang w:eastAsia="zh-CN"/>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color w:val="000000"/>
          <w:spacing w:val="-2"/>
          <w:sz w:val="24"/>
          <w:szCs w:val="24"/>
        </w:rPr>
        <w:t>说明：</w:t>
      </w:r>
      <w:r>
        <w:rPr>
          <w:rFonts w:hint="eastAsia" w:ascii="仿宋" w:hAnsi="仿宋" w:eastAsia="仿宋" w:cs="仿宋"/>
          <w:b/>
          <w:bCs w:val="0"/>
          <w:color w:val="000000"/>
          <w:spacing w:val="-2"/>
          <w:sz w:val="24"/>
          <w:szCs w:val="24"/>
        </w:rPr>
        <w:t>本章中</w:t>
      </w:r>
      <w:r>
        <w:rPr>
          <w:rFonts w:hint="eastAsia" w:ascii="仿宋" w:hAnsi="仿宋" w:eastAsia="仿宋" w:cs="仿宋"/>
          <w:b/>
          <w:bCs w:val="0"/>
          <w:color w:val="000000"/>
          <w:spacing w:val="-2"/>
          <w:sz w:val="24"/>
          <w:szCs w:val="24"/>
          <w:lang w:eastAsia="zh-CN"/>
        </w:rPr>
        <w:t>以</w:t>
      </w:r>
      <w:r>
        <w:rPr>
          <w:rFonts w:hint="eastAsia" w:ascii="仿宋" w:hAnsi="仿宋" w:eastAsia="仿宋" w:cs="仿宋"/>
          <w:b/>
          <w:bCs w:val="0"/>
          <w:color w:val="000000"/>
          <w:spacing w:val="-2"/>
          <w:sz w:val="24"/>
          <w:szCs w:val="24"/>
        </w:rPr>
        <w:t>“★”</w:t>
      </w:r>
      <w:r>
        <w:rPr>
          <w:rFonts w:hint="eastAsia" w:ascii="仿宋" w:hAnsi="仿宋" w:eastAsia="仿宋" w:cs="仿宋"/>
          <w:b/>
          <w:bCs w:val="0"/>
          <w:color w:val="000000"/>
          <w:spacing w:val="-2"/>
          <w:sz w:val="24"/>
          <w:szCs w:val="24"/>
          <w:lang w:eastAsia="zh-CN"/>
        </w:rPr>
        <w:t>标示</w:t>
      </w:r>
      <w:r>
        <w:rPr>
          <w:rFonts w:hint="eastAsia" w:ascii="仿宋" w:hAnsi="仿宋" w:eastAsia="仿宋" w:cs="仿宋"/>
          <w:b/>
          <w:bCs w:val="0"/>
          <w:color w:val="000000"/>
          <w:spacing w:val="-2"/>
          <w:sz w:val="24"/>
          <w:szCs w:val="24"/>
        </w:rPr>
        <w:t>的</w:t>
      </w:r>
      <w:r>
        <w:rPr>
          <w:rFonts w:hint="eastAsia" w:ascii="仿宋" w:hAnsi="仿宋" w:eastAsia="仿宋" w:cs="仿宋"/>
          <w:b/>
          <w:bCs w:val="0"/>
          <w:color w:val="000000"/>
          <w:spacing w:val="-2"/>
          <w:sz w:val="24"/>
          <w:szCs w:val="24"/>
          <w:lang w:eastAsia="zh-CN"/>
        </w:rPr>
        <w:t>内容</w:t>
      </w:r>
      <w:r>
        <w:rPr>
          <w:rFonts w:hint="eastAsia" w:ascii="仿宋" w:hAnsi="仿宋" w:eastAsia="仿宋" w:cs="仿宋"/>
          <w:b/>
          <w:bCs w:val="0"/>
          <w:color w:val="000000"/>
          <w:spacing w:val="-2"/>
          <w:sz w:val="24"/>
          <w:szCs w:val="24"/>
        </w:rPr>
        <w:t>为本次采购项目的实质性要求，</w:t>
      </w:r>
      <w:r>
        <w:rPr>
          <w:rFonts w:hint="eastAsia" w:ascii="仿宋" w:hAnsi="仿宋" w:eastAsia="仿宋" w:cs="仿宋"/>
          <w:b/>
          <w:bCs/>
          <w:color w:val="000000"/>
          <w:spacing w:val="-2"/>
          <w:sz w:val="24"/>
          <w:szCs w:val="24"/>
        </w:rPr>
        <w:t>供应商</w:t>
      </w:r>
      <w:r>
        <w:rPr>
          <w:rFonts w:hint="eastAsia" w:ascii="仿宋" w:hAnsi="仿宋" w:eastAsia="仿宋" w:cs="仿宋"/>
          <w:b/>
          <w:bCs/>
          <w:color w:val="000000"/>
          <w:spacing w:val="-2"/>
          <w:sz w:val="24"/>
          <w:szCs w:val="24"/>
          <w:lang w:eastAsia="zh-CN"/>
        </w:rPr>
        <w:t>如不</w:t>
      </w:r>
      <w:r>
        <w:rPr>
          <w:rFonts w:hint="eastAsia" w:ascii="仿宋" w:hAnsi="仿宋" w:eastAsia="仿宋" w:cs="仿宋"/>
          <w:b/>
          <w:bCs/>
          <w:color w:val="000000"/>
          <w:spacing w:val="-2"/>
          <w:sz w:val="24"/>
          <w:szCs w:val="24"/>
        </w:rPr>
        <w:t>满足将作无效</w:t>
      </w:r>
      <w:r>
        <w:rPr>
          <w:rFonts w:hint="eastAsia" w:ascii="仿宋" w:hAnsi="仿宋" w:eastAsia="仿宋" w:cs="仿宋"/>
          <w:b/>
          <w:bCs/>
          <w:color w:val="000000"/>
          <w:spacing w:val="-2"/>
          <w:sz w:val="24"/>
          <w:szCs w:val="24"/>
          <w:lang w:eastAsia="zh-CN"/>
        </w:rPr>
        <w:t>响应</w:t>
      </w:r>
      <w:r>
        <w:rPr>
          <w:rFonts w:hint="eastAsia" w:ascii="仿宋" w:hAnsi="仿宋" w:eastAsia="仿宋" w:cs="仿宋"/>
          <w:b/>
          <w:bCs/>
          <w:color w:val="000000"/>
          <w:spacing w:val="-2"/>
          <w:sz w:val="24"/>
          <w:szCs w:val="24"/>
        </w:rPr>
        <w:t>处理</w:t>
      </w:r>
      <w:r>
        <w:rPr>
          <w:rFonts w:hint="eastAsia" w:ascii="仿宋" w:hAnsi="仿宋" w:eastAsia="仿宋" w:cs="仿宋"/>
          <w:b/>
          <w:bCs/>
          <w:color w:val="000000"/>
          <w:spacing w:val="-2"/>
          <w:sz w:val="24"/>
          <w:szCs w:val="24"/>
          <w:lang w:eastAsia="zh-CN"/>
        </w:rPr>
        <w:t>。</w:t>
      </w:r>
    </w:p>
    <w:p w14:paraId="6AE81905">
      <w:pPr>
        <w:pStyle w:val="4"/>
        <w:keepNext/>
        <w:keepLines w:val="0"/>
        <w:pageBreakBefore w:val="0"/>
        <w:widowControl w:val="0"/>
        <w:kinsoku/>
        <w:wordWrap/>
        <w:overflowPunct/>
        <w:topLinePunct w:val="0"/>
        <w:autoSpaceDE/>
        <w:autoSpaceDN/>
        <w:bidi w:val="0"/>
        <w:adjustRightInd/>
        <w:snapToGrid/>
        <w:spacing w:before="157" w:beforeLines="50" w:beforeAutospacing="0" w:after="313" w:afterLines="100" w:line="360" w:lineRule="auto"/>
        <w:jc w:val="left"/>
        <w:textAlignment w:val="auto"/>
        <w:outlineLvl w:val="0"/>
        <w:rPr>
          <w:rFonts w:ascii="仿宋" w:hAnsi="仿宋" w:eastAsia="仿宋" w:cs="仿宋"/>
          <w:b/>
          <w:bCs/>
          <w:color w:val="000000" w:themeColor="text1"/>
          <w:kern w:val="2"/>
          <w:sz w:val="36"/>
          <w:szCs w:val="36"/>
          <w14:textFill>
            <w14:solidFill>
              <w14:schemeClr w14:val="tx1"/>
            </w14:solidFill>
          </w14:textFill>
        </w:rPr>
      </w:pPr>
      <w:bookmarkStart w:id="44" w:name="_Toc24419"/>
      <w:bookmarkStart w:id="45" w:name="_Toc3903"/>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六</w:t>
      </w:r>
      <w:r>
        <w:rPr>
          <w:rFonts w:hint="eastAsia" w:ascii="仿宋" w:hAnsi="仿宋" w:eastAsia="仿宋" w:cs="仿宋"/>
          <w:b/>
          <w:bCs/>
          <w:color w:val="auto"/>
          <w:kern w:val="2"/>
          <w:sz w:val="36"/>
          <w:szCs w:val="36"/>
        </w:rPr>
        <w:t>章 谈判内容、谈</w:t>
      </w:r>
      <w:r>
        <w:rPr>
          <w:rFonts w:hint="eastAsia" w:ascii="仿宋" w:hAnsi="仿宋" w:eastAsia="仿宋" w:cs="仿宋"/>
          <w:b/>
          <w:bCs/>
          <w:color w:val="000000" w:themeColor="text1"/>
          <w:kern w:val="2"/>
          <w:sz w:val="36"/>
          <w:szCs w:val="36"/>
          <w14:textFill>
            <w14:solidFill>
              <w14:schemeClr w14:val="tx1"/>
            </w14:solidFill>
          </w14:textFill>
        </w:rPr>
        <w:t>判过程中可能实质性变动的内容</w:t>
      </w:r>
      <w:bookmarkEnd w:id="40"/>
      <w:bookmarkEnd w:id="41"/>
      <w:bookmarkEnd w:id="42"/>
      <w:bookmarkEnd w:id="43"/>
      <w:bookmarkEnd w:id="44"/>
      <w:bookmarkEnd w:id="45"/>
    </w:p>
    <w:p w14:paraId="123E4BB9">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针对第五章、第</w:t>
      </w:r>
      <w:r>
        <w:rPr>
          <w:rFonts w:hint="eastAsia" w:ascii="仿宋" w:hAnsi="仿宋" w:eastAsia="仿宋" w:cs="仿宋"/>
          <w:color w:val="000000" w:themeColor="text1"/>
          <w:sz w:val="24"/>
          <w:lang w:eastAsia="zh-CN"/>
          <w14:textFill>
            <w14:solidFill>
              <w14:schemeClr w14:val="tx1"/>
            </w14:solidFill>
          </w14:textFill>
        </w:rPr>
        <w:t>九</w:t>
      </w:r>
      <w:r>
        <w:rPr>
          <w:rFonts w:hint="eastAsia" w:ascii="仿宋" w:hAnsi="仿宋" w:eastAsia="仿宋" w:cs="仿宋"/>
          <w:color w:val="000000" w:themeColor="text1"/>
          <w:sz w:val="24"/>
          <w14:textFill>
            <w14:solidFill>
              <w14:schemeClr w14:val="tx1"/>
            </w14:solidFill>
          </w14:textFill>
        </w:rPr>
        <w:t>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14:paraId="004EBC1D">
      <w:pPr>
        <w:widowControl/>
        <w:spacing w:line="360" w:lineRule="auto"/>
        <w:jc w:val="left"/>
        <w:rPr>
          <w:rFonts w:ascii="仿宋" w:hAnsi="仿宋" w:eastAsia="仿宋" w:cs="仿宋"/>
          <w:color w:val="000000" w:themeColor="text1"/>
          <w:sz w:val="24"/>
          <w14:textFill>
            <w14:solidFill>
              <w14:schemeClr w14:val="tx1"/>
            </w14:solidFill>
          </w14:textFill>
        </w:rPr>
      </w:pPr>
    </w:p>
    <w:p w14:paraId="6CAF5C7F">
      <w:pPr>
        <w:pStyle w:val="22"/>
        <w:spacing w:before="100" w:beforeAutospacing="1" w:after="50" w:line="360" w:lineRule="auto"/>
        <w:jc w:val="center"/>
        <w:rPr>
          <w:rFonts w:ascii="仿宋" w:hAnsi="仿宋" w:eastAsia="仿宋" w:cs="仿宋"/>
          <w:b/>
          <w:bCs/>
          <w:color w:val="000000" w:themeColor="text1"/>
          <w:kern w:val="2"/>
          <w:sz w:val="32"/>
          <w:szCs w:val="32"/>
          <w14:textFill>
            <w14:solidFill>
              <w14:schemeClr w14:val="tx1"/>
            </w14:solidFill>
          </w14:textFill>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14:paraId="6CDECE77">
      <w:pPr>
        <w:pStyle w:val="22"/>
        <w:keepNext w:val="0"/>
        <w:keepLines w:val="0"/>
        <w:pageBreakBefore w:val="0"/>
        <w:widowControl/>
        <w:kinsoku/>
        <w:wordWrap/>
        <w:overflowPunct/>
        <w:topLinePunct w:val="0"/>
        <w:autoSpaceDE/>
        <w:autoSpaceDN/>
        <w:bidi w:val="0"/>
        <w:adjustRightInd/>
        <w:snapToGrid/>
        <w:spacing w:before="0" w:beforeAutospacing="0" w:after="20" w:line="360" w:lineRule="auto"/>
        <w:ind w:firstLine="0" w:firstLineChars="0"/>
        <w:jc w:val="center"/>
        <w:textAlignment w:val="auto"/>
        <w:outlineLvl w:val="0"/>
        <w:rPr>
          <w:rFonts w:ascii="仿宋" w:hAnsi="仿宋" w:eastAsia="仿宋" w:cs="仿宋"/>
          <w:b/>
          <w:bCs/>
          <w:color w:val="auto"/>
          <w:kern w:val="2"/>
          <w:sz w:val="36"/>
          <w:szCs w:val="36"/>
        </w:rPr>
      </w:pPr>
      <w:bookmarkStart w:id="46" w:name="_Toc2502"/>
      <w:bookmarkStart w:id="47" w:name="_Toc24582"/>
      <w:bookmarkStart w:id="48" w:name="_Toc7612"/>
      <w:bookmarkStart w:id="49" w:name="_Toc20997"/>
      <w:bookmarkStart w:id="50" w:name="_Toc4706"/>
      <w:bookmarkStart w:id="51" w:name="_Toc27659"/>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七</w:t>
      </w:r>
      <w:r>
        <w:rPr>
          <w:rFonts w:hint="eastAsia" w:ascii="仿宋" w:hAnsi="仿宋" w:eastAsia="仿宋" w:cs="仿宋"/>
          <w:b/>
          <w:bCs/>
          <w:color w:val="auto"/>
          <w:kern w:val="2"/>
          <w:sz w:val="36"/>
          <w:szCs w:val="36"/>
        </w:rPr>
        <w:t>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响应文件主要格式要求</w:t>
      </w:r>
      <w:bookmarkEnd w:id="46"/>
      <w:bookmarkEnd w:id="47"/>
      <w:bookmarkEnd w:id="48"/>
      <w:bookmarkEnd w:id="49"/>
      <w:bookmarkEnd w:id="50"/>
      <w:bookmarkEnd w:id="51"/>
    </w:p>
    <w:p w14:paraId="62BF655D">
      <w:pPr>
        <w:tabs>
          <w:tab w:val="left" w:pos="426"/>
          <w:tab w:val="left" w:pos="851"/>
        </w:tabs>
        <w:spacing w:line="360" w:lineRule="auto"/>
        <w:ind w:firstLine="504" w:firstLineChars="200"/>
        <w:rPr>
          <w:rFonts w:hint="eastAsia" w:ascii="仿宋" w:hAnsi="仿宋" w:eastAsia="仿宋" w:cs="仿宋"/>
          <w:color w:val="auto"/>
          <w:spacing w:val="6"/>
          <w:sz w:val="24"/>
        </w:rPr>
      </w:pPr>
    </w:p>
    <w:p w14:paraId="2C172560">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bookmarkStart w:id="52" w:name="_Toc22320"/>
      <w:bookmarkStart w:id="53" w:name="_Toc26124"/>
      <w:bookmarkStart w:id="54" w:name="_Toc16494"/>
      <w:bookmarkStart w:id="55" w:name="_Toc26560"/>
      <w:bookmarkStart w:id="56" w:name="_Toc13336"/>
      <w:bookmarkStart w:id="57" w:name="_Toc21231"/>
      <w:bookmarkStart w:id="58" w:name="_Toc17149"/>
      <w:r>
        <w:rPr>
          <w:rFonts w:hint="eastAsia" w:ascii="仿宋" w:hAnsi="仿宋" w:eastAsia="仿宋" w:cs="仿宋"/>
          <w:color w:val="000000"/>
          <w:spacing w:val="6"/>
          <w:sz w:val="24"/>
          <w:highlight w:val="none"/>
          <w:lang w:eastAsia="zh-CN"/>
        </w:rPr>
        <w:t>一、</w:t>
      </w:r>
      <w:r>
        <w:rPr>
          <w:rFonts w:hint="eastAsia" w:ascii="仿宋" w:hAnsi="仿宋" w:eastAsia="仿宋" w:cs="仿宋"/>
          <w:color w:val="000000"/>
          <w:spacing w:val="6"/>
          <w:sz w:val="24"/>
          <w:highlight w:val="none"/>
        </w:rPr>
        <w:t>本章所</w:t>
      </w:r>
      <w:r>
        <w:rPr>
          <w:rFonts w:hint="eastAsia" w:ascii="仿宋" w:hAnsi="仿宋" w:eastAsia="仿宋" w:cs="仿宋"/>
          <w:color w:val="000000"/>
          <w:spacing w:val="6"/>
          <w:sz w:val="24"/>
          <w:highlight w:val="none"/>
          <w:lang w:eastAsia="zh-CN"/>
        </w:rPr>
        <w:t>列示的响应</w:t>
      </w:r>
      <w:r>
        <w:rPr>
          <w:rFonts w:hint="eastAsia" w:ascii="仿宋" w:hAnsi="仿宋" w:eastAsia="仿宋" w:cs="仿宋"/>
          <w:color w:val="000000"/>
          <w:spacing w:val="6"/>
          <w:sz w:val="24"/>
          <w:highlight w:val="none"/>
        </w:rPr>
        <w:t>文件格式</w:t>
      </w:r>
      <w:r>
        <w:rPr>
          <w:rFonts w:hint="eastAsia" w:ascii="仿宋" w:hAnsi="仿宋" w:eastAsia="仿宋" w:cs="仿宋"/>
          <w:color w:val="000000"/>
          <w:spacing w:val="6"/>
          <w:sz w:val="24"/>
          <w:highlight w:val="none"/>
          <w:lang w:eastAsia="zh-CN"/>
        </w:rPr>
        <w:t>由采购代理机构依规制订，并具有解释权。</w:t>
      </w:r>
    </w:p>
    <w:p w14:paraId="08025F59">
      <w:pPr>
        <w:pStyle w:val="2"/>
        <w:numPr>
          <w:ilvl w:val="0"/>
          <w:numId w:val="0"/>
        </w:numPr>
        <w:spacing w:line="360" w:lineRule="auto"/>
        <w:ind w:firstLine="504" w:firstLineChars="200"/>
        <w:rPr>
          <w:rFonts w:hint="eastAsia" w:ascii="仿宋" w:hAnsi="仿宋" w:eastAsia="仿宋" w:cs="仿宋"/>
          <w:color w:val="000000"/>
          <w:spacing w:val="6"/>
          <w:sz w:val="24"/>
          <w:highlight w:val="none"/>
          <w:lang w:val="en-US" w:eastAsia="zh-CN"/>
        </w:rPr>
      </w:pPr>
      <w:r>
        <w:rPr>
          <w:rFonts w:hint="eastAsia" w:ascii="仿宋" w:hAnsi="仿宋" w:eastAsia="仿宋" w:cs="仿宋"/>
          <w:color w:val="000000"/>
          <w:spacing w:val="6"/>
          <w:sz w:val="24"/>
          <w:highlight w:val="none"/>
          <w:lang w:val="en-US" w:eastAsia="zh-CN"/>
        </w:rPr>
        <w:t>1、响应文件格式中以“括号”方式标注“实质性要求”的，是指供应商不能擅自对此项格式文件内容作实质性更改，否则将会导致其响应无效。</w:t>
      </w:r>
    </w:p>
    <w:p w14:paraId="0A481C3D">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lang w:val="en-US" w:eastAsia="zh-CN"/>
        </w:rPr>
        <w:t>2、</w:t>
      </w:r>
      <w:r>
        <w:rPr>
          <w:rFonts w:hint="eastAsia" w:ascii="仿宋" w:hAnsi="仿宋" w:eastAsia="仿宋" w:cs="仿宋"/>
          <w:color w:val="000000"/>
          <w:spacing w:val="6"/>
          <w:sz w:val="24"/>
          <w:highlight w:val="none"/>
          <w:lang w:eastAsia="zh-CN"/>
        </w:rPr>
        <w:t>供应商响应</w:t>
      </w:r>
      <w:r>
        <w:rPr>
          <w:rFonts w:hint="eastAsia" w:ascii="仿宋" w:hAnsi="仿宋" w:eastAsia="仿宋" w:cs="仿宋"/>
          <w:color w:val="000000"/>
          <w:spacing w:val="6"/>
          <w:sz w:val="24"/>
          <w:highlight w:val="none"/>
        </w:rPr>
        <w:t>文件相关资料和本章所制格式不一致的，需涵盖所有要求内容，未按要求</w:t>
      </w:r>
      <w:r>
        <w:rPr>
          <w:rFonts w:hint="eastAsia" w:ascii="仿宋" w:hAnsi="仿宋" w:eastAsia="仿宋" w:cs="仿宋"/>
          <w:color w:val="000000"/>
          <w:spacing w:val="6"/>
          <w:sz w:val="24"/>
          <w:highlight w:val="none"/>
          <w:lang w:eastAsia="zh-CN"/>
        </w:rPr>
        <w:t>正确填写、</w:t>
      </w:r>
      <w:r>
        <w:rPr>
          <w:rFonts w:hint="eastAsia" w:ascii="仿宋" w:hAnsi="仿宋" w:eastAsia="仿宋" w:cs="仿宋"/>
          <w:color w:val="000000"/>
          <w:spacing w:val="6"/>
          <w:sz w:val="24"/>
          <w:highlight w:val="none"/>
        </w:rPr>
        <w:t>提供导致</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文件被认定为无效</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w:t>
      </w:r>
      <w:r>
        <w:rPr>
          <w:rFonts w:hint="eastAsia" w:ascii="仿宋" w:hAnsi="仿宋" w:eastAsia="仿宋" w:cs="仿宋"/>
          <w:color w:val="000000"/>
          <w:spacing w:val="6"/>
          <w:sz w:val="24"/>
          <w:highlight w:val="none"/>
          <w:lang w:eastAsia="zh-CN"/>
        </w:rPr>
        <w:t>的</w:t>
      </w:r>
      <w:r>
        <w:rPr>
          <w:rFonts w:hint="eastAsia" w:ascii="仿宋" w:hAnsi="仿宋" w:eastAsia="仿宋" w:cs="仿宋"/>
          <w:color w:val="000000"/>
          <w:spacing w:val="6"/>
          <w:sz w:val="24"/>
          <w:highlight w:val="none"/>
        </w:rPr>
        <w:t>，后果由供应商自行承担。</w:t>
      </w:r>
    </w:p>
    <w:p w14:paraId="64C27191">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lang w:eastAsia="zh-CN"/>
        </w:rPr>
      </w:pPr>
      <w:r>
        <w:rPr>
          <w:rFonts w:hint="eastAsia" w:ascii="仿宋" w:hAnsi="仿宋" w:eastAsia="仿宋" w:cs="仿宋"/>
          <w:color w:val="000000"/>
          <w:spacing w:val="6"/>
          <w:sz w:val="24"/>
          <w:highlight w:val="none"/>
        </w:rPr>
        <w:t>二、本章所制</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文件格式有关表格中的备注栏，由</w:t>
      </w:r>
      <w:r>
        <w:rPr>
          <w:rFonts w:hint="eastAsia" w:ascii="仿宋" w:hAnsi="仿宋" w:eastAsia="仿宋" w:cs="仿宋"/>
          <w:color w:val="000000"/>
          <w:spacing w:val="6"/>
          <w:sz w:val="24"/>
          <w:highlight w:val="none"/>
          <w:lang w:eastAsia="zh-CN"/>
        </w:rPr>
        <w:t>供应商</w:t>
      </w:r>
      <w:r>
        <w:rPr>
          <w:rFonts w:hint="eastAsia" w:ascii="仿宋" w:hAnsi="仿宋" w:eastAsia="仿宋" w:cs="仿宋"/>
          <w:color w:val="000000"/>
          <w:spacing w:val="6"/>
          <w:sz w:val="24"/>
          <w:highlight w:val="none"/>
        </w:rPr>
        <w:t>根据自身</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情况作解释性说明，不作为必填项</w:t>
      </w:r>
      <w:r>
        <w:rPr>
          <w:rFonts w:hint="eastAsia" w:ascii="仿宋" w:hAnsi="仿宋" w:eastAsia="仿宋" w:cs="仿宋"/>
          <w:color w:val="000000"/>
          <w:spacing w:val="6"/>
          <w:sz w:val="24"/>
          <w:highlight w:val="none"/>
          <w:lang w:eastAsia="zh-CN"/>
        </w:rPr>
        <w:t>。</w:t>
      </w:r>
    </w:p>
    <w:p w14:paraId="55B7F9BE">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pacing w:val="6"/>
          <w:sz w:val="24"/>
          <w:highlight w:val="none"/>
        </w:rPr>
        <w:t>三、</w:t>
      </w:r>
      <w:r>
        <w:rPr>
          <w:rFonts w:hint="eastAsia" w:ascii="仿宋" w:hAnsi="仿宋" w:eastAsia="仿宋" w:cs="仿宋"/>
          <w:color w:val="000000"/>
          <w:spacing w:val="6"/>
          <w:sz w:val="24"/>
          <w:highlight w:val="none"/>
          <w:lang w:eastAsia="zh-CN"/>
        </w:rPr>
        <w:t>未提供格式的由供应商自拟。</w:t>
      </w:r>
    </w:p>
    <w:p w14:paraId="37F76606">
      <w:pPr>
        <w:snapToGrid/>
        <w:spacing w:line="360" w:lineRule="auto"/>
        <w:jc w:val="left"/>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14:paraId="30DC00BA">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第一部分“资格性响应文件”格式</w:t>
      </w:r>
    </w:p>
    <w:p w14:paraId="57B18C08">
      <w:pPr>
        <w:pStyle w:val="2"/>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格式</w:t>
      </w:r>
      <w:r>
        <w:rPr>
          <w:rFonts w:hint="eastAsia" w:ascii="仿宋" w:hAnsi="仿宋" w:eastAsia="仿宋" w:cs="仿宋"/>
          <w:b/>
          <w:bCs/>
          <w:color w:val="auto"/>
          <w:sz w:val="24"/>
          <w:szCs w:val="24"/>
          <w:lang w:val="en-US" w:eastAsia="zh-CN"/>
        </w:rPr>
        <w:t>1-1</w:t>
      </w:r>
      <w:r>
        <w:rPr>
          <w:rFonts w:hint="eastAsia" w:ascii="仿宋" w:hAnsi="仿宋" w:eastAsia="仿宋" w:cs="仿宋"/>
          <w:b/>
          <w:bCs/>
          <w:color w:val="auto"/>
          <w:sz w:val="24"/>
        </w:rPr>
        <w:t>:</w:t>
      </w:r>
      <w:r>
        <w:rPr>
          <w:rFonts w:hint="eastAsia" w:ascii="仿宋" w:hAnsi="仿宋" w:eastAsia="仿宋" w:cs="仿宋"/>
          <w:b/>
          <w:bCs/>
          <w:color w:val="auto"/>
          <w:sz w:val="24"/>
          <w:szCs w:val="24"/>
        </w:rPr>
        <w:t>资格性响应文件封面</w:t>
      </w:r>
    </w:p>
    <w:p w14:paraId="328EBF95">
      <w:pPr>
        <w:rPr>
          <w:rFonts w:hint="eastAsia" w:ascii="仿宋" w:hAnsi="仿宋" w:eastAsia="仿宋" w:cs="仿宋"/>
          <w:color w:val="auto"/>
        </w:rPr>
      </w:pPr>
    </w:p>
    <w:p w14:paraId="75BE5DAD">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3956685</wp:posOffset>
                </wp:positionH>
                <wp:positionV relativeFrom="paragraph">
                  <wp:posOffset>26035</wp:posOffset>
                </wp:positionV>
                <wp:extent cx="1604645" cy="425450"/>
                <wp:effectExtent l="4445" t="4445" r="10160" b="8255"/>
                <wp:wrapNone/>
                <wp:docPr id="8" name="矩形 8"/>
                <wp:cNvGraphicFramePr/>
                <a:graphic xmlns:a="http://schemas.openxmlformats.org/drawingml/2006/main">
                  <a:graphicData uri="http://schemas.microsoft.com/office/word/2010/wordprocessingShape">
                    <wps:wsp>
                      <wps:cNvSpPr/>
                      <wps:spPr>
                        <a:xfrm>
                          <a:off x="0" y="0"/>
                          <a:ext cx="1714500" cy="425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BDDA1C2">
                            <w:pPr>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3.5pt;width:126.35pt;z-index:251663360;mso-width-relative:page;mso-height-relative:page;" fillcolor="#FFFFFF" filled="t" stroked="t" coordsize="21600,21600" o:gfxdata="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W8+TXAAAACAEAAA8AAAAAAAAAAQAgAAAAIgAAAGRycy9k&#10;b3ducmV2LnhtbFBLAQIUABQAAAAIAIdO4kBqb2tkAwIAADcEAAAOAAAAAAAAAAEAIAAAACYBAABk&#10;cnMvZTJvRG9jLnhtbFBLBQYAAAAABgAGAFkBAACbBQAAAAA=&#10;">
                <v:fill on="t" focussize="0,0"/>
                <v:stroke color="#000000" joinstyle="miter"/>
                <v:imagedata o:title=""/>
                <o:lock v:ext="edit" aspectratio="f"/>
                <v:textbox>
                  <w:txbxContent>
                    <w:p w14:paraId="2BDDA1C2">
                      <w:pPr>
                        <w:jc w:val="center"/>
                        <w:rPr>
                          <w:b/>
                          <w:sz w:val="36"/>
                          <w:szCs w:val="36"/>
                        </w:rPr>
                      </w:pPr>
                      <w:r>
                        <w:rPr>
                          <w:rFonts w:hint="eastAsia"/>
                          <w:b/>
                          <w:sz w:val="36"/>
                          <w:szCs w:val="36"/>
                        </w:rPr>
                        <w:t>正本或副本</w:t>
                      </w:r>
                    </w:p>
                  </w:txbxContent>
                </v:textbox>
              </v:rect>
            </w:pict>
          </mc:Fallback>
        </mc:AlternateContent>
      </w:r>
    </w:p>
    <w:p w14:paraId="028B4CC4">
      <w:pPr>
        <w:pStyle w:val="22"/>
        <w:tabs>
          <w:tab w:val="left" w:leader="dot" w:pos="7380"/>
        </w:tabs>
        <w:spacing w:before="100" w:beforeAutospacing="1" w:after="50" w:line="380" w:lineRule="exact"/>
        <w:rPr>
          <w:rFonts w:hint="eastAsia" w:ascii="仿宋" w:hAnsi="仿宋" w:eastAsia="仿宋" w:cs="仿宋"/>
          <w:b/>
          <w:bCs/>
          <w:color w:val="auto"/>
          <w:sz w:val="32"/>
          <w:szCs w:val="32"/>
        </w:rPr>
      </w:pPr>
    </w:p>
    <w:p w14:paraId="714B9273">
      <w:pPr>
        <w:tabs>
          <w:tab w:val="left" w:leader="dot" w:pos="7380"/>
        </w:tabs>
        <w:snapToGrid w:val="0"/>
        <w:spacing w:line="324" w:lineRule="auto"/>
        <w:jc w:val="left"/>
        <w:rPr>
          <w:rFonts w:hint="eastAsia" w:ascii="仿宋" w:hAnsi="仿宋" w:eastAsia="仿宋" w:cs="仿宋"/>
          <w:b/>
          <w:bCs/>
          <w:color w:val="auto"/>
          <w:sz w:val="32"/>
          <w:szCs w:val="32"/>
        </w:rPr>
      </w:pPr>
    </w:p>
    <w:p w14:paraId="53B47D1F">
      <w:pPr>
        <w:tabs>
          <w:tab w:val="left" w:leader="dot" w:pos="7380"/>
        </w:tabs>
        <w:snapToGrid w:val="0"/>
        <w:spacing w:line="324" w:lineRule="auto"/>
        <w:jc w:val="left"/>
        <w:rPr>
          <w:rFonts w:hint="eastAsia" w:ascii="仿宋" w:hAnsi="仿宋" w:eastAsia="仿宋" w:cs="仿宋"/>
          <w:b/>
          <w:bCs/>
          <w:color w:val="auto"/>
          <w:sz w:val="32"/>
          <w:szCs w:val="32"/>
        </w:rPr>
      </w:pPr>
    </w:p>
    <w:p w14:paraId="267FE6FC">
      <w:pPr>
        <w:pStyle w:val="2"/>
        <w:rPr>
          <w:rFonts w:hint="eastAsia" w:ascii="仿宋" w:hAnsi="仿宋" w:eastAsia="仿宋" w:cs="仿宋"/>
          <w:color w:val="auto"/>
        </w:rPr>
      </w:pPr>
    </w:p>
    <w:p w14:paraId="4A487F63">
      <w:pPr>
        <w:tabs>
          <w:tab w:val="left" w:leader="dot" w:pos="7380"/>
        </w:tabs>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84"/>
          <w:szCs w:val="84"/>
        </w:rPr>
        <w:t>资格性响应文件</w:t>
      </w:r>
    </w:p>
    <w:p w14:paraId="4647E884">
      <w:pPr>
        <w:tabs>
          <w:tab w:val="left" w:leader="dot" w:pos="7380"/>
        </w:tabs>
        <w:snapToGrid w:val="0"/>
        <w:spacing w:line="324" w:lineRule="auto"/>
        <w:jc w:val="center"/>
        <w:rPr>
          <w:rFonts w:hint="eastAsia" w:ascii="仿宋" w:hAnsi="仿宋" w:eastAsia="仿宋" w:cs="仿宋"/>
          <w:b/>
          <w:bCs/>
          <w:color w:val="auto"/>
          <w:sz w:val="32"/>
          <w:szCs w:val="32"/>
        </w:rPr>
      </w:pPr>
    </w:p>
    <w:p w14:paraId="070A7C31">
      <w:pPr>
        <w:tabs>
          <w:tab w:val="left" w:pos="4005"/>
          <w:tab w:val="left" w:leader="dot" w:pos="7380"/>
        </w:tabs>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14:paraId="130F942A">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14:paraId="39DE886F">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p>
    <w:p w14:paraId="26F8C846">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14:paraId="05CEA5ED">
      <w:pPr>
        <w:tabs>
          <w:tab w:val="left" w:leader="dot" w:pos="7380"/>
        </w:tabs>
        <w:snapToGrid w:val="0"/>
        <w:spacing w:line="360" w:lineRule="auto"/>
        <w:jc w:val="left"/>
        <w:rPr>
          <w:rFonts w:hint="eastAsia" w:ascii="仿宋" w:hAnsi="仿宋" w:eastAsia="仿宋" w:cs="仿宋"/>
          <w:b/>
          <w:bCs/>
          <w:color w:val="auto"/>
          <w:sz w:val="32"/>
          <w:szCs w:val="32"/>
        </w:rPr>
      </w:pPr>
    </w:p>
    <w:p w14:paraId="5314335E">
      <w:pPr>
        <w:tabs>
          <w:tab w:val="left" w:leader="dot" w:pos="7380"/>
        </w:tabs>
        <w:snapToGrid w:val="0"/>
        <w:spacing w:line="360" w:lineRule="auto"/>
        <w:jc w:val="left"/>
        <w:rPr>
          <w:rFonts w:hint="eastAsia" w:ascii="仿宋" w:hAnsi="仿宋" w:eastAsia="仿宋" w:cs="仿宋"/>
          <w:b/>
          <w:bCs/>
          <w:color w:val="auto"/>
          <w:sz w:val="32"/>
          <w:szCs w:val="32"/>
        </w:rPr>
      </w:pPr>
    </w:p>
    <w:p w14:paraId="77551C1A">
      <w:pPr>
        <w:pStyle w:val="2"/>
        <w:rPr>
          <w:rFonts w:hint="eastAsia" w:ascii="仿宋" w:hAnsi="仿宋" w:eastAsia="仿宋" w:cs="仿宋"/>
          <w:color w:val="auto"/>
        </w:rPr>
      </w:pPr>
    </w:p>
    <w:p w14:paraId="619E063F">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14:paraId="127B80FF">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14:paraId="463A5AEB">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14:paraId="27889045">
      <w:pPr>
        <w:tabs>
          <w:tab w:val="left" w:leader="dot" w:pos="7380"/>
        </w:tabs>
        <w:snapToGrid w:val="0"/>
        <w:spacing w:line="324" w:lineRule="auto"/>
        <w:ind w:firstLine="643" w:firstLineChars="200"/>
        <w:jc w:val="left"/>
        <w:rPr>
          <w:rFonts w:hint="eastAsia" w:ascii="仿宋" w:hAnsi="仿宋" w:eastAsia="仿宋" w:cs="仿宋"/>
          <w:b/>
          <w:bCs/>
          <w:color w:val="auto"/>
          <w:sz w:val="32"/>
          <w:szCs w:val="32"/>
          <w:lang w:val="en-US" w:eastAsia="zh-CN"/>
        </w:rPr>
      </w:pPr>
    </w:p>
    <w:p w14:paraId="1C77E814">
      <w:pPr>
        <w:tabs>
          <w:tab w:val="left" w:leader="dot" w:pos="7380"/>
        </w:tabs>
        <w:snapToGrid w:val="0"/>
        <w:spacing w:line="324" w:lineRule="auto"/>
        <w:jc w:val="center"/>
        <w:rPr>
          <w:rFonts w:hint="eastAsia" w:ascii="仿宋" w:hAnsi="仿宋" w:eastAsia="仿宋" w:cs="仿宋"/>
          <w:b/>
          <w:bCs/>
          <w:color w:val="auto"/>
          <w:sz w:val="32"/>
          <w:szCs w:val="32"/>
        </w:rPr>
      </w:pPr>
    </w:p>
    <w:p w14:paraId="0A79247A">
      <w:pPr>
        <w:tabs>
          <w:tab w:val="left" w:leader="dot" w:pos="7380"/>
        </w:tabs>
        <w:snapToGrid w:val="0"/>
        <w:spacing w:line="324" w:lineRule="auto"/>
        <w:jc w:val="center"/>
        <w:rPr>
          <w:rFonts w:hint="eastAsia" w:ascii="仿宋" w:hAnsi="仿宋" w:eastAsia="仿宋" w:cs="仿宋"/>
          <w:b/>
          <w:bCs/>
          <w:color w:val="auto"/>
          <w:sz w:val="32"/>
          <w:szCs w:val="32"/>
        </w:rPr>
      </w:pPr>
    </w:p>
    <w:p w14:paraId="493DAB20">
      <w:pPr>
        <w:pStyle w:val="2"/>
        <w:rPr>
          <w:rFonts w:hint="eastAsia" w:ascii="仿宋" w:hAnsi="仿宋" w:eastAsia="仿宋" w:cs="仿宋"/>
          <w:b/>
          <w:bCs/>
          <w:color w:val="auto"/>
          <w:sz w:val="32"/>
          <w:szCs w:val="32"/>
        </w:rPr>
      </w:pPr>
    </w:p>
    <w:p w14:paraId="30BA1C15">
      <w:pPr>
        <w:pStyle w:val="9"/>
        <w:rPr>
          <w:rFonts w:hint="eastAsia" w:ascii="仿宋" w:hAnsi="仿宋" w:eastAsia="仿宋" w:cs="仿宋"/>
          <w:b/>
          <w:bCs/>
          <w:color w:val="auto"/>
          <w:sz w:val="32"/>
          <w:szCs w:val="32"/>
        </w:rPr>
      </w:pPr>
    </w:p>
    <w:p w14:paraId="7C940211">
      <w:pPr>
        <w:widowControl/>
        <w:numPr>
          <w:ilvl w:val="-1"/>
          <w:numId w:val="0"/>
        </w:numPr>
        <w:spacing w:line="240" w:lineRule="auto"/>
        <w:ind w:leftChars="0"/>
        <w:jc w:val="left"/>
        <w:outlineLvl w:val="9"/>
        <w:rPr>
          <w:rFonts w:hint="eastAsia" w:ascii="仿宋" w:hAnsi="仿宋" w:eastAsia="仿宋" w:cs="仿宋"/>
          <w:b/>
          <w:bCs/>
          <w:color w:val="auto"/>
          <w:kern w:val="2"/>
          <w:sz w:val="24"/>
          <w:szCs w:val="24"/>
          <w:highlight w:val="none"/>
          <w:lang w:val="en-US" w:eastAsia="zh-CN" w:bidi="ar-SA"/>
        </w:rPr>
      </w:pPr>
      <w:bookmarkStart w:id="59" w:name="_Toc4357"/>
      <w:r>
        <w:rPr>
          <w:rFonts w:hint="eastAsia" w:ascii="仿宋" w:hAnsi="仿宋" w:eastAsia="仿宋" w:cs="仿宋"/>
          <w:b/>
          <w:bCs/>
          <w:color w:val="auto"/>
          <w:kern w:val="2"/>
          <w:sz w:val="24"/>
          <w:szCs w:val="24"/>
          <w:highlight w:val="none"/>
          <w:lang w:val="en-US" w:eastAsia="zh-CN" w:bidi="ar-SA"/>
        </w:rPr>
        <w:br w:type="page"/>
      </w:r>
    </w:p>
    <w:p w14:paraId="6C4881A9">
      <w:pPr>
        <w:widowControl/>
        <w:numPr>
          <w:ilvl w:val="0"/>
          <w:numId w:val="0"/>
        </w:numPr>
        <w:spacing w:line="480" w:lineRule="auto"/>
        <w:ind w:leftChars="0"/>
        <w:jc w:val="both"/>
        <w:outlineLvl w:val="2"/>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highlight w:val="none"/>
          <w:lang w:val="en-US" w:eastAsia="zh-CN" w:bidi="ar-SA"/>
        </w:rPr>
        <w:t>格式1-2</w:t>
      </w:r>
      <w:r>
        <w:rPr>
          <w:rFonts w:hint="eastAsia" w:ascii="仿宋" w:hAnsi="仿宋" w:eastAsia="仿宋" w:cs="仿宋"/>
          <w:b/>
          <w:bCs/>
          <w:color w:val="auto"/>
          <w:sz w:val="24"/>
        </w:rPr>
        <w:t>:</w:t>
      </w:r>
      <w:r>
        <w:rPr>
          <w:rFonts w:hint="eastAsia" w:ascii="仿宋" w:hAnsi="仿宋" w:eastAsia="仿宋" w:cs="仿宋"/>
          <w:b/>
          <w:color w:val="auto"/>
          <w:sz w:val="24"/>
          <w:szCs w:val="24"/>
          <w:highlight w:val="none"/>
        </w:rPr>
        <w:t>法定代表人身份证明</w:t>
      </w:r>
      <w:bookmarkEnd w:id="59"/>
    </w:p>
    <w:p w14:paraId="5F3BCD0A">
      <w:pPr>
        <w:widowControl/>
        <w:spacing w:line="360" w:lineRule="auto"/>
        <w:jc w:val="center"/>
        <w:outlineLvl w:val="9"/>
        <w:rPr>
          <w:rFonts w:hint="eastAsia" w:ascii="仿宋" w:hAnsi="仿宋" w:eastAsia="仿宋" w:cs="仿宋"/>
          <w:b/>
          <w:color w:val="auto"/>
          <w:sz w:val="36"/>
          <w:szCs w:val="36"/>
          <w:highlight w:val="none"/>
        </w:rPr>
      </w:pPr>
      <w:bookmarkStart w:id="60" w:name="_Toc12389"/>
      <w:r>
        <w:rPr>
          <w:rFonts w:hint="eastAsia" w:ascii="仿宋" w:hAnsi="仿宋" w:eastAsia="仿宋" w:cs="仿宋"/>
          <w:b/>
          <w:color w:val="auto"/>
          <w:sz w:val="36"/>
          <w:szCs w:val="36"/>
          <w:highlight w:val="none"/>
        </w:rPr>
        <w:t>法定代表人身份证明</w:t>
      </w:r>
      <w:bookmarkEnd w:id="60"/>
    </w:p>
    <w:p w14:paraId="441A3984">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14:paraId="510DD76F">
      <w:pPr>
        <w:spacing w:line="360" w:lineRule="auto"/>
        <w:ind w:left="0" w:leftChars="0" w:firstLine="480" w:firstLineChars="200"/>
        <w:rPr>
          <w:rFonts w:hint="eastAsia" w:ascii="仿宋" w:hAnsi="仿宋" w:eastAsia="仿宋" w:cs="仿宋"/>
          <w:color w:val="auto"/>
          <w:sz w:val="24"/>
          <w:szCs w:val="24"/>
          <w:highlight w:val="none"/>
          <w:lang w:eastAsia="zh-CN"/>
        </w:rPr>
      </w:pPr>
    </w:p>
    <w:p w14:paraId="2DE0A0E5">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6EB7D98">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283138B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4C6B88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7E36A57">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14:paraId="252A84D3">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14:paraId="13B2E8E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（供应商名称）</w:t>
      </w:r>
      <w:r>
        <w:rPr>
          <w:rFonts w:hint="eastAsia" w:ascii="仿宋" w:hAnsi="仿宋" w:eastAsia="仿宋" w:cs="仿宋"/>
          <w:color w:val="auto"/>
          <w:sz w:val="24"/>
          <w:szCs w:val="24"/>
          <w:highlight w:val="none"/>
        </w:rPr>
        <w:t>的法定代表人。</w:t>
      </w:r>
    </w:p>
    <w:p w14:paraId="1A89995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14:paraId="03C26346">
      <w:pPr>
        <w:spacing w:line="360" w:lineRule="auto"/>
        <w:rPr>
          <w:rFonts w:hint="eastAsia" w:ascii="仿宋" w:hAnsi="仿宋" w:eastAsia="仿宋" w:cs="仿宋"/>
          <w:color w:val="auto"/>
          <w:szCs w:val="21"/>
          <w:highlight w:val="none"/>
        </w:rPr>
      </w:pPr>
    </w:p>
    <w:p w14:paraId="546F4B9F">
      <w:pPr>
        <w:wordWrap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附：</w:t>
      </w:r>
      <w:r>
        <w:rPr>
          <w:rFonts w:hint="eastAsia" w:ascii="仿宋" w:hAnsi="仿宋" w:eastAsia="仿宋" w:cs="仿宋"/>
          <w:color w:val="auto"/>
          <w:sz w:val="24"/>
          <w:szCs w:val="24"/>
          <w:highlight w:val="none"/>
          <w:lang w:eastAsia="zh-CN"/>
        </w:rPr>
        <w:t>法定代表人身份证正反面影印件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14:paraId="1833887C">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     </w:t>
      </w:r>
    </w:p>
    <w:p w14:paraId="0E6BC0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14:paraId="7452FE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14:paraId="0F5155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pacing w:val="-2"/>
          <w:sz w:val="36"/>
          <w:szCs w:val="36"/>
          <w:highlight w:val="none"/>
        </w:rPr>
      </w:pPr>
      <w:r>
        <w:rPr>
          <w:rFonts w:hint="eastAsia" w:ascii="仿宋" w:hAnsi="仿宋" w:eastAsia="仿宋" w:cs="仿宋"/>
          <w:bCs/>
          <w:color w:val="auto"/>
          <w:sz w:val="24"/>
          <w:highlight w:val="none"/>
        </w:rPr>
        <w:t>日    期：</w:t>
      </w:r>
      <w:r>
        <w:rPr>
          <w:rFonts w:hint="eastAsia" w:ascii="仿宋" w:hAnsi="仿宋" w:eastAsia="仿宋" w:cs="仿宋"/>
          <w:b/>
          <w:bCs/>
          <w:color w:val="auto"/>
          <w:kern w:val="2"/>
          <w:sz w:val="36"/>
          <w:szCs w:val="36"/>
          <w:highlight w:val="none"/>
          <w:lang w:val="en-US" w:eastAsia="zh-CN" w:bidi="ar-SA"/>
        </w:rPr>
        <w:t xml:space="preserve">  </w:t>
      </w:r>
    </w:p>
    <w:p w14:paraId="00227D0F">
      <w:pPr>
        <w:spacing w:line="360" w:lineRule="auto"/>
        <w:ind w:left="0" w:leftChars="0" w:firstLine="0" w:firstLineChars="0"/>
        <w:jc w:val="left"/>
        <w:rPr>
          <w:rFonts w:hint="eastAsia" w:ascii="仿宋" w:hAnsi="仿宋" w:eastAsia="仿宋" w:cs="仿宋"/>
          <w:b w:val="0"/>
          <w:bCs/>
          <w:color w:val="auto"/>
          <w:spacing w:val="0"/>
          <w:sz w:val="24"/>
          <w:szCs w:val="24"/>
          <w:highlight w:val="none"/>
          <w:lang w:eastAsia="zh-CN"/>
        </w:rPr>
      </w:pPr>
    </w:p>
    <w:p w14:paraId="4C577A75">
      <w:pPr>
        <w:spacing w:line="360" w:lineRule="auto"/>
        <w:ind w:left="0" w:leftChars="0" w:firstLine="0" w:firstLineChars="0"/>
        <w:jc w:val="left"/>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eastAsia="zh-CN"/>
        </w:rPr>
        <w:t>说明：</w:t>
      </w:r>
      <w:r>
        <w:rPr>
          <w:rFonts w:hint="eastAsia" w:ascii="仿宋" w:hAnsi="仿宋" w:eastAsia="仿宋" w:cs="仿宋"/>
          <w:b w:val="0"/>
          <w:bCs/>
          <w:color w:val="auto"/>
          <w:spacing w:val="0"/>
          <w:sz w:val="24"/>
          <w:szCs w:val="24"/>
          <w:highlight w:val="none"/>
          <w:lang w:val="en-US" w:eastAsia="zh-CN"/>
        </w:rPr>
        <w:t xml:space="preserve"> </w:t>
      </w:r>
    </w:p>
    <w:p w14:paraId="1412451B">
      <w:pPr>
        <w:spacing w:line="360" w:lineRule="auto"/>
        <w:ind w:left="0" w:leftChars="0" w:firstLine="480" w:firstLineChars="200"/>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b w:val="0"/>
          <w:bCs/>
          <w:color w:val="auto"/>
          <w:spacing w:val="0"/>
          <w:sz w:val="24"/>
          <w:szCs w:val="24"/>
          <w:highlight w:val="none"/>
          <w:lang w:val="en-US" w:eastAsia="zh-CN"/>
        </w:rPr>
        <w:t xml:space="preserve">① </w:t>
      </w:r>
      <w:r>
        <w:rPr>
          <w:rFonts w:hint="eastAsia" w:ascii="仿宋" w:hAnsi="仿宋" w:eastAsia="仿宋" w:cs="仿宋"/>
          <w:b w:val="0"/>
          <w:bCs/>
          <w:color w:val="auto"/>
          <w:spacing w:val="0"/>
          <w:sz w:val="24"/>
          <w:szCs w:val="24"/>
          <w:highlight w:val="none"/>
          <w:lang w:eastAsia="zh-CN"/>
        </w:rPr>
        <w:t>供应商代表为法定代表人时提供。</w:t>
      </w:r>
    </w:p>
    <w:p w14:paraId="46AD14D0">
      <w:pPr>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② 银行、保险、石油石化、电力、电信等行业以非法人身份参加谈判的，“法定代表人”指代表单位行使职权的主要负责人，即与实际提交的“营业执照等证明文件”载明的一致。</w:t>
      </w:r>
    </w:p>
    <w:p w14:paraId="3772D884">
      <w:pPr>
        <w:widowControl/>
        <w:spacing w:line="360" w:lineRule="auto"/>
        <w:ind w:firstLine="0" w:firstLineChars="0"/>
        <w:jc w:val="left"/>
        <w:outlineLvl w:val="9"/>
        <w:rPr>
          <w:rFonts w:hint="eastAsia" w:ascii="仿宋" w:hAnsi="仿宋" w:eastAsia="仿宋" w:cs="仿宋"/>
          <w:b/>
          <w:bCs/>
          <w:color w:val="auto"/>
          <w:sz w:val="24"/>
          <w:szCs w:val="24"/>
        </w:rPr>
      </w:pPr>
    </w:p>
    <w:p w14:paraId="67378D61">
      <w:pPr>
        <w:widowControl/>
        <w:spacing w:line="360" w:lineRule="auto"/>
        <w:ind w:firstLine="0" w:firstLineChars="0"/>
        <w:jc w:val="left"/>
        <w:outlineLvl w:val="9"/>
        <w:rPr>
          <w:rFonts w:hint="eastAsia" w:ascii="仿宋" w:hAnsi="仿宋" w:eastAsia="仿宋" w:cs="仿宋"/>
          <w:b/>
          <w:bCs/>
          <w:color w:val="auto"/>
          <w:sz w:val="24"/>
          <w:szCs w:val="24"/>
        </w:rPr>
      </w:pPr>
    </w:p>
    <w:p w14:paraId="1DD5F9D6">
      <w:pPr>
        <w:widowControl/>
        <w:spacing w:line="360" w:lineRule="auto"/>
        <w:ind w:firstLine="0" w:firstLineChars="0"/>
        <w:jc w:val="left"/>
        <w:outlineLvl w:val="9"/>
        <w:rPr>
          <w:rFonts w:hint="eastAsia" w:ascii="仿宋" w:hAnsi="仿宋" w:eastAsia="仿宋" w:cs="仿宋"/>
          <w:b/>
          <w:bCs/>
          <w:color w:val="auto"/>
          <w:sz w:val="24"/>
          <w:szCs w:val="24"/>
        </w:rPr>
      </w:pPr>
    </w:p>
    <w:p w14:paraId="4062CD6C">
      <w:pPr>
        <w:widowControl/>
        <w:spacing w:line="360" w:lineRule="auto"/>
        <w:ind w:firstLine="0" w:firstLineChars="0"/>
        <w:jc w:val="left"/>
        <w:outlineLvl w:val="9"/>
        <w:rPr>
          <w:rFonts w:hint="eastAsia" w:ascii="仿宋" w:hAnsi="仿宋" w:eastAsia="仿宋" w:cs="仿宋"/>
          <w:b/>
          <w:bCs/>
          <w:color w:val="auto"/>
          <w:sz w:val="24"/>
          <w:szCs w:val="24"/>
        </w:rPr>
      </w:pPr>
    </w:p>
    <w:bookmarkEnd w:id="52"/>
    <w:bookmarkEnd w:id="53"/>
    <w:bookmarkEnd w:id="54"/>
    <w:bookmarkEnd w:id="55"/>
    <w:bookmarkEnd w:id="56"/>
    <w:bookmarkEnd w:id="57"/>
    <w:bookmarkEnd w:id="58"/>
    <w:p w14:paraId="4AD00D32">
      <w:pPr>
        <w:spacing w:line="240" w:lineRule="auto"/>
        <w:ind w:left="0" w:leftChars="0" w:firstLine="0" w:firstLineChars="0"/>
        <w:jc w:val="left"/>
        <w:outlineLvl w:val="9"/>
        <w:rPr>
          <w:rFonts w:hint="eastAsia" w:ascii="仿宋" w:hAnsi="仿宋" w:eastAsia="仿宋" w:cs="仿宋"/>
          <w:b/>
          <w:bCs/>
          <w:color w:val="auto"/>
          <w:kern w:val="2"/>
          <w:sz w:val="24"/>
          <w:szCs w:val="24"/>
          <w:highlight w:val="none"/>
          <w:lang w:val="en-US" w:eastAsia="zh-CN" w:bidi="ar-SA"/>
        </w:rPr>
      </w:pPr>
      <w:bookmarkStart w:id="61" w:name="_Toc19094"/>
      <w:bookmarkStart w:id="62" w:name="_Toc30155"/>
      <w:r>
        <w:rPr>
          <w:rFonts w:hint="eastAsia" w:ascii="仿宋" w:hAnsi="仿宋" w:eastAsia="仿宋" w:cs="仿宋"/>
          <w:b/>
          <w:bCs/>
          <w:color w:val="auto"/>
          <w:kern w:val="2"/>
          <w:sz w:val="24"/>
          <w:szCs w:val="24"/>
          <w:highlight w:val="none"/>
          <w:lang w:val="en-US" w:eastAsia="zh-CN" w:bidi="ar-SA"/>
        </w:rPr>
        <w:br w:type="page"/>
      </w:r>
    </w:p>
    <w:p w14:paraId="1707D0E4">
      <w:pPr>
        <w:spacing w:line="480" w:lineRule="auto"/>
        <w:ind w:left="0" w:leftChars="0" w:firstLine="0" w:firstLineChars="0"/>
        <w:jc w:val="left"/>
        <w:outlineLvl w:val="2"/>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kern w:val="2"/>
          <w:sz w:val="24"/>
          <w:szCs w:val="24"/>
          <w:highlight w:val="none"/>
          <w:lang w:val="en-US" w:eastAsia="zh-CN" w:bidi="ar-SA"/>
        </w:rPr>
        <w:t>格式1-3</w:t>
      </w:r>
      <w:r>
        <w:rPr>
          <w:rFonts w:hint="eastAsia" w:ascii="仿宋" w:hAnsi="仿宋" w:eastAsia="仿宋" w:cs="仿宋"/>
          <w:b/>
          <w:bCs/>
          <w:color w:val="auto"/>
          <w:sz w:val="24"/>
        </w:rPr>
        <w:t>:</w:t>
      </w:r>
      <w:r>
        <w:rPr>
          <w:rFonts w:hint="eastAsia" w:ascii="仿宋" w:hAnsi="仿宋" w:eastAsia="仿宋" w:cs="仿宋"/>
          <w:b/>
          <w:bCs/>
          <w:color w:val="auto"/>
          <w:spacing w:val="-2"/>
          <w:sz w:val="24"/>
          <w:szCs w:val="24"/>
          <w:highlight w:val="none"/>
        </w:rPr>
        <w:t>法定代表</w:t>
      </w:r>
      <w:r>
        <w:rPr>
          <w:rFonts w:hint="eastAsia" w:ascii="仿宋" w:hAnsi="仿宋" w:eastAsia="仿宋" w:cs="仿宋"/>
          <w:b/>
          <w:bCs/>
          <w:color w:val="auto"/>
          <w:spacing w:val="-2"/>
          <w:sz w:val="24"/>
          <w:szCs w:val="24"/>
          <w:highlight w:val="none"/>
          <w:lang w:eastAsia="zh-CN"/>
        </w:rPr>
        <w:t>人</w:t>
      </w:r>
      <w:r>
        <w:rPr>
          <w:rFonts w:hint="eastAsia" w:ascii="仿宋" w:hAnsi="仿宋" w:eastAsia="仿宋" w:cs="仿宋"/>
          <w:b/>
          <w:bCs/>
          <w:color w:val="auto"/>
          <w:spacing w:val="-2"/>
          <w:sz w:val="24"/>
          <w:szCs w:val="24"/>
          <w:highlight w:val="none"/>
        </w:rPr>
        <w:t>授权委托书</w:t>
      </w:r>
    </w:p>
    <w:p w14:paraId="0D5BF4D3">
      <w:pPr>
        <w:spacing w:line="360" w:lineRule="auto"/>
        <w:ind w:left="0" w:leftChars="0" w:firstLine="0" w:firstLineChars="0"/>
        <w:jc w:val="center"/>
        <w:outlineLvl w:val="9"/>
        <w:rPr>
          <w:rFonts w:ascii="仿宋" w:hAnsi="仿宋" w:eastAsia="仿宋" w:cs="仿宋"/>
          <w:b/>
          <w:color w:val="auto"/>
          <w:sz w:val="24"/>
          <w:highlight w:val="none"/>
        </w:rPr>
      </w:pPr>
      <w:bookmarkStart w:id="63" w:name="_Toc18432"/>
      <w:r>
        <w:rPr>
          <w:rFonts w:hint="eastAsia" w:ascii="仿宋" w:hAnsi="仿宋" w:eastAsia="仿宋" w:cs="仿宋"/>
          <w:b/>
          <w:bCs/>
          <w:color w:val="auto"/>
          <w:spacing w:val="-2"/>
          <w:sz w:val="36"/>
          <w:szCs w:val="36"/>
          <w:highlight w:val="none"/>
        </w:rPr>
        <w:t>法定代表</w:t>
      </w:r>
      <w:r>
        <w:rPr>
          <w:rFonts w:hint="eastAsia" w:ascii="仿宋" w:hAnsi="仿宋" w:eastAsia="仿宋" w:cs="仿宋"/>
          <w:b/>
          <w:bCs/>
          <w:color w:val="auto"/>
          <w:spacing w:val="-2"/>
          <w:sz w:val="36"/>
          <w:szCs w:val="36"/>
          <w:highlight w:val="none"/>
          <w:lang w:eastAsia="zh-CN"/>
        </w:rPr>
        <w:t>人</w:t>
      </w:r>
      <w:r>
        <w:rPr>
          <w:rFonts w:hint="eastAsia" w:ascii="仿宋" w:hAnsi="仿宋" w:eastAsia="仿宋" w:cs="仿宋"/>
          <w:b/>
          <w:bCs/>
          <w:color w:val="auto"/>
          <w:spacing w:val="-2"/>
          <w:sz w:val="36"/>
          <w:szCs w:val="36"/>
          <w:highlight w:val="none"/>
        </w:rPr>
        <w:t>授权委托书</w:t>
      </w:r>
      <w:bookmarkEnd w:id="63"/>
    </w:p>
    <w:p w14:paraId="10721936">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14:paraId="038BB1A6">
      <w:pPr>
        <w:pStyle w:val="16"/>
        <w:snapToGrid w:val="0"/>
        <w:spacing w:line="360" w:lineRule="auto"/>
        <w:ind w:left="0"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bCs/>
          <w:color w:val="auto"/>
          <w:sz w:val="24"/>
          <w:highlight w:val="none"/>
        </w:rPr>
        <w:t>：</w:t>
      </w:r>
    </w:p>
    <w:p w14:paraId="4A75DCB4">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本授权声明:___________（供应商名称）</w:t>
      </w:r>
      <w:r>
        <w:rPr>
          <w:rFonts w:hint="eastAsia" w:ascii="仿宋" w:hAnsi="仿宋" w:eastAsia="仿宋" w:cs="仿宋"/>
          <w:bCs/>
          <w:color w:val="auto"/>
          <w:sz w:val="24"/>
          <w:highlight w:val="none"/>
          <w:lang w:eastAsia="zh-CN"/>
        </w:rPr>
        <w:t>法定代表人</w:t>
      </w:r>
      <w:r>
        <w:rPr>
          <w:rFonts w:hint="eastAsia" w:ascii="仿宋" w:hAnsi="仿宋" w:eastAsia="仿宋" w:cs="仿宋"/>
          <w:bCs/>
          <w:color w:val="auto"/>
          <w:sz w:val="24"/>
          <w:highlight w:val="none"/>
        </w:rPr>
        <w:t>___________（法定代表人姓名、职务）授权_________（被授权人姓名、职务）为我方</w:t>
      </w:r>
      <w:r>
        <w:rPr>
          <w:rFonts w:hint="eastAsia" w:ascii="仿宋" w:hAnsi="仿宋" w:eastAsia="仿宋" w:cs="仿宋"/>
          <w:bCs/>
          <w:color w:val="auto"/>
          <w:sz w:val="24"/>
          <w:highlight w:val="none"/>
          <w:lang w:eastAsia="zh-CN"/>
        </w:rPr>
        <w:t>参与</w:t>
      </w:r>
      <w:r>
        <w:rPr>
          <w:rFonts w:hint="eastAsia" w:ascii="仿宋" w:hAnsi="仿宋" w:eastAsia="仿宋" w:cs="仿宋"/>
          <w:bCs/>
          <w:color w:val="auto"/>
          <w:sz w:val="24"/>
          <w:highlight w:val="none"/>
        </w:rPr>
        <w:t xml:space="preserve"> ___________</w:t>
      </w: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活动的合法代表，以我方名义全权处理该项目有关</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、签订合同以及执行合同等一切事宜。</w:t>
      </w:r>
    </w:p>
    <w:p w14:paraId="5B4243E3">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特此授权。</w:t>
      </w:r>
    </w:p>
    <w:p w14:paraId="2B17253F">
      <w:pPr>
        <w:pStyle w:val="16"/>
        <w:snapToGrid w:val="0"/>
        <w:spacing w:line="360" w:lineRule="auto"/>
        <w:ind w:left="0" w:leftChars="0"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附：</w:t>
      </w:r>
      <w:r>
        <w:rPr>
          <w:rFonts w:hint="eastAsia" w:ascii="仿宋" w:hAnsi="仿宋" w:eastAsia="仿宋" w:cs="仿宋"/>
          <w:bCs/>
          <w:color w:val="auto"/>
          <w:sz w:val="24"/>
          <w:highlight w:val="none"/>
          <w:lang w:eastAsia="zh-CN"/>
        </w:rPr>
        <w:t>法定代表人和</w:t>
      </w:r>
      <w:r>
        <w:rPr>
          <w:rFonts w:hint="eastAsia" w:ascii="仿宋" w:hAnsi="仿宋" w:eastAsia="仿宋" w:cs="仿宋"/>
          <w:bCs/>
          <w:color w:val="auto"/>
          <w:sz w:val="24"/>
          <w:highlight w:val="none"/>
        </w:rPr>
        <w:t>授权代表身份证</w:t>
      </w:r>
      <w:r>
        <w:rPr>
          <w:rFonts w:hint="eastAsia" w:ascii="仿宋" w:hAnsi="仿宋" w:eastAsia="仿宋" w:cs="仿宋"/>
          <w:bCs/>
          <w:color w:val="auto"/>
          <w:sz w:val="24"/>
          <w:highlight w:val="none"/>
          <w:lang w:eastAsia="zh-CN"/>
        </w:rPr>
        <w:t>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14:paraId="3CEFC151">
      <w:pPr>
        <w:pStyle w:val="16"/>
        <w:snapToGrid w:val="0"/>
        <w:spacing w:line="360" w:lineRule="auto"/>
        <w:ind w:left="0" w:leftChars="0" w:firstLine="480" w:firstLineChars="200"/>
        <w:rPr>
          <w:rFonts w:ascii="仿宋" w:hAnsi="仿宋" w:eastAsia="仿宋" w:cs="仿宋"/>
          <w:bCs/>
          <w:color w:val="auto"/>
          <w:sz w:val="24"/>
          <w:highlight w:val="none"/>
        </w:rPr>
      </w:pPr>
    </w:p>
    <w:p w14:paraId="1D909EF7">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14:paraId="29260A2A">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14:paraId="7B965C03">
      <w:pPr>
        <w:pStyle w:val="16"/>
        <w:snapToGrid w:val="0"/>
        <w:spacing w:line="360" w:lineRule="auto"/>
        <w:ind w:left="0" w:leftChars="0" w:firstLine="480" w:firstLineChars="200"/>
        <w:rPr>
          <w:rFonts w:ascii="仿宋" w:hAnsi="仿宋" w:eastAsia="仿宋" w:cs="仿宋"/>
          <w:bCs/>
          <w:color w:val="auto"/>
          <w:sz w:val="24"/>
          <w:szCs w:val="22"/>
          <w:highlight w:val="none"/>
        </w:rPr>
      </w:pPr>
      <w:r>
        <w:rPr>
          <w:rFonts w:hint="eastAsia" w:ascii="仿宋" w:hAnsi="仿宋" w:eastAsia="仿宋" w:cs="仿宋"/>
          <w:bCs/>
          <w:color w:val="auto"/>
          <w:sz w:val="24"/>
          <w:highlight w:val="none"/>
        </w:rPr>
        <w:t>授权代表签字：</w:t>
      </w:r>
      <w:r>
        <w:rPr>
          <w:rFonts w:hint="eastAsia" w:ascii="仿宋" w:hAnsi="仿宋" w:eastAsia="仿宋" w:cs="仿宋"/>
          <w:bCs/>
          <w:color w:val="auto"/>
          <w:sz w:val="24"/>
          <w:szCs w:val="22"/>
          <w:highlight w:val="none"/>
        </w:rPr>
        <w:t xml:space="preserve">      </w:t>
      </w:r>
    </w:p>
    <w:p w14:paraId="3F261931">
      <w:pPr>
        <w:pStyle w:val="16"/>
        <w:snapToGrid w:val="0"/>
        <w:spacing w:line="360" w:lineRule="auto"/>
        <w:ind w:left="0" w:leftChars="0"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日    期：</w:t>
      </w:r>
    </w:p>
    <w:p w14:paraId="79544D68">
      <w:pPr>
        <w:pStyle w:val="16"/>
        <w:snapToGrid w:val="0"/>
        <w:spacing w:line="360" w:lineRule="auto"/>
        <w:ind w:left="0" w:leftChars="0" w:firstLine="480" w:firstLineChars="200"/>
        <w:rPr>
          <w:rFonts w:hint="eastAsia" w:ascii="仿宋" w:hAnsi="仿宋" w:eastAsia="仿宋" w:cs="仿宋"/>
          <w:bCs/>
          <w:color w:val="auto"/>
          <w:sz w:val="24"/>
          <w:szCs w:val="22"/>
          <w:highlight w:val="none"/>
        </w:rPr>
      </w:pPr>
    </w:p>
    <w:p w14:paraId="49A7C36C">
      <w:pPr>
        <w:pStyle w:val="16"/>
        <w:snapToGrid w:val="0"/>
        <w:spacing w:line="360" w:lineRule="auto"/>
        <w:ind w:left="0" w:leftChars="0" w:firstLine="480" w:firstLineChars="200"/>
        <w:rPr>
          <w:rFonts w:hint="eastAsia" w:ascii="仿宋" w:hAnsi="仿宋" w:eastAsia="仿宋" w:cs="仿宋"/>
          <w:bCs/>
          <w:color w:val="auto"/>
          <w:sz w:val="24"/>
          <w:szCs w:val="22"/>
          <w:highlight w:val="none"/>
          <w:lang w:val="en-US" w:eastAsia="zh-CN"/>
        </w:rPr>
      </w:pPr>
    </w:p>
    <w:p w14:paraId="041A0888">
      <w:pPr>
        <w:keepNext w:val="0"/>
        <w:keepLines w:val="0"/>
        <w:widowControl/>
        <w:suppressLineNumbers w:val="0"/>
        <w:spacing w:line="360" w:lineRule="auto"/>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color w:val="auto"/>
          <w:kern w:val="0"/>
          <w:sz w:val="24"/>
          <w:szCs w:val="24"/>
          <w:highlight w:val="none"/>
          <w:lang w:val="en-US" w:eastAsia="zh-CN" w:bidi="ar"/>
        </w:rPr>
        <w:t xml:space="preserve">说明： </w:t>
      </w:r>
      <w:r>
        <w:rPr>
          <w:rFonts w:hint="eastAsia" w:ascii="仿宋" w:hAnsi="仿宋" w:eastAsia="仿宋" w:cs="仿宋"/>
          <w:b w:val="0"/>
          <w:bCs/>
          <w:color w:val="auto"/>
          <w:spacing w:val="0"/>
          <w:sz w:val="24"/>
          <w:szCs w:val="24"/>
          <w:highlight w:val="none"/>
          <w:lang w:eastAsia="zh-CN"/>
        </w:rPr>
        <w:t>供应商代表为非法定代表人时提供。</w:t>
      </w:r>
    </w:p>
    <w:bookmarkEnd w:id="61"/>
    <w:bookmarkEnd w:id="62"/>
    <w:p w14:paraId="2B2E19CC">
      <w:pPr>
        <w:widowControl/>
        <w:spacing w:line="240" w:lineRule="auto"/>
        <w:ind w:firstLine="0" w:firstLineChars="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1F08F9C8">
      <w:pPr>
        <w:widowControl/>
        <w:spacing w:line="480" w:lineRule="auto"/>
        <w:jc w:val="left"/>
        <w:outlineLvl w:val="2"/>
        <w:rPr>
          <w:rFonts w:hint="eastAsia" w:ascii="仿宋" w:hAnsi="仿宋" w:eastAsia="仿宋" w:cs="仿宋"/>
          <w:b/>
          <w:bCs/>
          <w:color w:val="auto"/>
          <w:spacing w:val="-2"/>
          <w:sz w:val="24"/>
          <w:szCs w:val="24"/>
          <w:highlight w:val="none"/>
          <w:lang w:eastAsia="zh-CN"/>
        </w:rPr>
      </w:pPr>
      <w:r>
        <w:rPr>
          <w:rFonts w:hint="eastAsia" w:ascii="仿宋" w:hAnsi="仿宋" w:eastAsia="仿宋" w:cs="仿宋"/>
          <w:b/>
          <w:bCs/>
          <w:color w:val="auto"/>
          <w:spacing w:val="-2"/>
          <w:sz w:val="24"/>
          <w:szCs w:val="24"/>
          <w:highlight w:val="none"/>
        </w:rPr>
        <w:t>格式1-</w:t>
      </w:r>
      <w:r>
        <w:rPr>
          <w:rFonts w:hint="eastAsia" w:ascii="仿宋" w:hAnsi="仿宋" w:eastAsia="仿宋" w:cs="仿宋"/>
          <w:b/>
          <w:bCs/>
          <w:color w:val="auto"/>
          <w:spacing w:val="-2"/>
          <w:sz w:val="24"/>
          <w:szCs w:val="24"/>
          <w:highlight w:val="none"/>
          <w:lang w:val="en-US" w:eastAsia="zh-CN"/>
        </w:rPr>
        <w:t>4</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szCs w:val="24"/>
          <w:highlight w:val="none"/>
          <w:lang w:eastAsia="zh-CN"/>
        </w:rPr>
        <w:t>资格声明函</w:t>
      </w:r>
    </w:p>
    <w:p w14:paraId="3E331664">
      <w:pPr>
        <w:widowControl/>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pacing w:val="-2"/>
          <w:sz w:val="36"/>
          <w:szCs w:val="36"/>
          <w:highlight w:val="none"/>
          <w:lang w:eastAsia="zh-CN"/>
        </w:rPr>
        <w:t>资格声明函</w:t>
      </w:r>
    </w:p>
    <w:p w14:paraId="45F404A1">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14:paraId="48168937">
      <w:pPr>
        <w:widowControl/>
        <w:spacing w:line="360" w:lineRule="auto"/>
        <w:jc w:val="left"/>
        <w:outlineLvl w:val="9"/>
        <w:rPr>
          <w:rFonts w:hint="eastAsia" w:ascii="仿宋" w:hAnsi="仿宋" w:eastAsia="仿宋" w:cs="仿宋"/>
          <w:color w:val="auto"/>
          <w:sz w:val="24"/>
          <w:szCs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color w:val="auto"/>
          <w:sz w:val="24"/>
          <w:szCs w:val="24"/>
          <w:highlight w:val="none"/>
        </w:rPr>
        <w:t>：</w:t>
      </w:r>
    </w:p>
    <w:p w14:paraId="78093AD1">
      <w:pPr>
        <w:widowControl/>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作为本次采购项目的供应商，根据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文件要求，现郑重</w:t>
      </w:r>
      <w:r>
        <w:rPr>
          <w:rFonts w:hint="eastAsia" w:ascii="仿宋" w:hAnsi="仿宋" w:eastAsia="仿宋" w:cs="仿宋"/>
          <w:color w:val="auto"/>
          <w:sz w:val="24"/>
          <w:szCs w:val="24"/>
          <w:lang w:eastAsia="zh-CN"/>
        </w:rPr>
        <w:t>声明</w:t>
      </w:r>
      <w:r>
        <w:rPr>
          <w:rFonts w:hint="eastAsia" w:ascii="仿宋" w:hAnsi="仿宋" w:eastAsia="仿宋" w:cs="仿宋"/>
          <w:color w:val="auto"/>
          <w:sz w:val="24"/>
          <w:szCs w:val="24"/>
        </w:rPr>
        <w:t>如下：</w:t>
      </w:r>
    </w:p>
    <w:p w14:paraId="1EA22E1E">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我方</w:t>
      </w:r>
      <w:r>
        <w:rPr>
          <w:rFonts w:hint="eastAsia" w:ascii="仿宋" w:hAnsi="仿宋" w:eastAsia="仿宋" w:cs="仿宋"/>
          <w:bCs/>
          <w:sz w:val="24"/>
        </w:rPr>
        <w:t>具有独立承担民事责任的能力</w:t>
      </w:r>
      <w:r>
        <w:rPr>
          <w:rFonts w:hint="eastAsia" w:ascii="仿宋" w:hAnsi="仿宋" w:eastAsia="仿宋" w:cs="仿宋"/>
          <w:bCs/>
          <w:sz w:val="24"/>
          <w:lang w:eastAsia="zh-CN"/>
        </w:rPr>
        <w:t>。</w:t>
      </w:r>
    </w:p>
    <w:p w14:paraId="3BD75C49">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我方</w:t>
      </w:r>
      <w:r>
        <w:rPr>
          <w:rFonts w:hint="eastAsia" w:ascii="仿宋" w:hAnsi="仿宋" w:eastAsia="仿宋" w:cs="仿宋"/>
          <w:bCs/>
          <w:sz w:val="24"/>
        </w:rPr>
        <w:t>具有良好的商业信誉和健全的财务会计制度</w:t>
      </w:r>
      <w:r>
        <w:rPr>
          <w:rFonts w:hint="eastAsia" w:ascii="仿宋" w:hAnsi="仿宋" w:eastAsia="仿宋" w:cs="仿宋"/>
          <w:bCs/>
          <w:sz w:val="24"/>
          <w:lang w:eastAsia="zh-CN"/>
        </w:rPr>
        <w:t>。</w:t>
      </w:r>
    </w:p>
    <w:p w14:paraId="469D9409">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我方</w:t>
      </w:r>
      <w:r>
        <w:rPr>
          <w:rFonts w:hint="eastAsia" w:ascii="仿宋" w:hAnsi="仿宋" w:eastAsia="仿宋" w:cs="仿宋"/>
          <w:bCs/>
          <w:sz w:val="24"/>
        </w:rPr>
        <w:t>具有履行合同所必需的设备和专业技术能力</w:t>
      </w:r>
      <w:r>
        <w:rPr>
          <w:rFonts w:hint="eastAsia" w:ascii="仿宋" w:hAnsi="仿宋" w:eastAsia="仿宋" w:cs="仿宋"/>
          <w:bCs/>
          <w:sz w:val="24"/>
          <w:lang w:eastAsia="zh-CN"/>
        </w:rPr>
        <w:t>。</w:t>
      </w:r>
    </w:p>
    <w:p w14:paraId="5BE64760">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具</w:t>
      </w:r>
      <w:r>
        <w:rPr>
          <w:rFonts w:hint="eastAsia" w:ascii="仿宋" w:hAnsi="仿宋" w:eastAsia="仿宋" w:cs="仿宋"/>
          <w:bCs/>
          <w:sz w:val="24"/>
        </w:rPr>
        <w:t>有依法缴纳税收和社会保障资金的良好记录</w:t>
      </w:r>
      <w:r>
        <w:rPr>
          <w:rFonts w:hint="eastAsia" w:ascii="仿宋" w:hAnsi="仿宋" w:eastAsia="仿宋" w:cs="仿宋"/>
          <w:bCs/>
          <w:sz w:val="24"/>
          <w:lang w:eastAsia="zh-CN"/>
        </w:rPr>
        <w:t>。</w:t>
      </w:r>
    </w:p>
    <w:p w14:paraId="3D35F356">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我方</w:t>
      </w:r>
      <w:r>
        <w:rPr>
          <w:rFonts w:hint="eastAsia" w:ascii="仿宋" w:hAnsi="仿宋" w:eastAsia="仿宋" w:cs="仿宋"/>
          <w:bCs/>
          <w:sz w:val="24"/>
        </w:rPr>
        <w:t>参加本次采购活动前三年内，在经营活动中没有重大违法记录；</w:t>
      </w:r>
    </w:p>
    <w:p w14:paraId="634A88AC">
      <w:pPr>
        <w:spacing w:line="360" w:lineRule="auto"/>
        <w:ind w:firstLine="480"/>
        <w:rPr>
          <w:rFonts w:hint="eastAsia" w:ascii="仿宋" w:hAnsi="仿宋" w:eastAsia="仿宋" w:cs="仿宋"/>
          <w:bCs/>
          <w:sz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符合</w:t>
      </w:r>
      <w:r>
        <w:rPr>
          <w:rFonts w:hint="eastAsia" w:ascii="仿宋" w:hAnsi="仿宋" w:eastAsia="仿宋" w:cs="仿宋"/>
          <w:bCs/>
          <w:sz w:val="24"/>
        </w:rPr>
        <w:t>法律、行政法规规定的其他条件。</w:t>
      </w:r>
    </w:p>
    <w:p w14:paraId="1947241B">
      <w:pPr>
        <w:widowControl/>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、截至响应文件递交截止日</w:t>
      </w:r>
      <w:r>
        <w:rPr>
          <w:rFonts w:hint="eastAsia" w:ascii="仿宋" w:hAnsi="仿宋" w:eastAsia="仿宋" w:cs="仿宋"/>
          <w:color w:val="auto"/>
          <w:sz w:val="24"/>
          <w:szCs w:val="24"/>
          <w:lang w:eastAsia="zh-CN"/>
        </w:rPr>
        <w:t>，我方</w:t>
      </w:r>
      <w:r>
        <w:rPr>
          <w:rFonts w:hint="eastAsia" w:ascii="仿宋" w:hAnsi="仿宋" w:eastAsia="仿宋" w:cs="仿宋"/>
          <w:color w:val="auto"/>
          <w:sz w:val="24"/>
          <w:szCs w:val="24"/>
        </w:rPr>
        <w:t>未被列入失信被执行人、重大税收违法案件当事人名单、政府采购严重违法失信行为记录名单。</w:t>
      </w:r>
    </w:p>
    <w:p w14:paraId="4C6F8184">
      <w:pPr>
        <w:widowControl/>
        <w:spacing w:line="360" w:lineRule="auto"/>
        <w:ind w:firstLine="480" w:firstLineChars="2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lang w:eastAsia="zh-CN"/>
        </w:rPr>
        <w:t>、我方符合第二章供应商须知前附表“充分、公平竞争保障措施”的规定。</w:t>
      </w:r>
    </w:p>
    <w:p w14:paraId="51B22F54">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与我方存在直接控股关系的单位为：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；存在管理关系单位为：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。（如果没有的，填写“无”）</w:t>
      </w:r>
    </w:p>
    <w:p w14:paraId="6FA8F11D">
      <w:pPr>
        <w:widowControl/>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rPr>
        <w:t>本单位对上述承诺的内容事项真实性负责。如经查实上述承诺的内容事项存在虚假，我方愿意依法承担因提供虚假材料谋取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的法律责任。</w:t>
      </w:r>
    </w:p>
    <w:p w14:paraId="6DB08CD7">
      <w:pPr>
        <w:widowControl/>
        <w:spacing w:line="360" w:lineRule="auto"/>
        <w:ind w:firstLine="480" w:firstLineChars="200"/>
        <w:jc w:val="left"/>
        <w:outlineLvl w:val="9"/>
        <w:rPr>
          <w:rFonts w:hint="eastAsia" w:ascii="仿宋" w:hAnsi="仿宋" w:eastAsia="仿宋" w:cs="仿宋"/>
          <w:color w:val="auto"/>
          <w:sz w:val="24"/>
          <w:szCs w:val="24"/>
        </w:rPr>
      </w:pPr>
    </w:p>
    <w:p w14:paraId="454BA384">
      <w:pPr>
        <w:widowControl/>
        <w:wordWrap w:val="0"/>
        <w:spacing w:line="360" w:lineRule="auto"/>
        <w:jc w:val="both"/>
        <w:outlineLvl w:val="9"/>
        <w:rPr>
          <w:rFonts w:hint="eastAsia" w:ascii="仿宋" w:hAnsi="仿宋" w:eastAsia="仿宋" w:cs="仿宋"/>
          <w:color w:val="auto"/>
          <w:sz w:val="24"/>
          <w:szCs w:val="24"/>
        </w:rPr>
      </w:pPr>
    </w:p>
    <w:p w14:paraId="04D77405">
      <w:pPr>
        <w:widowControl/>
        <w:wordWrap w:val="0"/>
        <w:spacing w:line="360" w:lineRule="auto"/>
        <w:jc w:val="both"/>
        <w:outlineLvl w:val="9"/>
        <w:rPr>
          <w:rFonts w:hint="eastAsia" w:ascii="仿宋" w:hAnsi="仿宋" w:eastAsia="仿宋" w:cs="仿宋"/>
          <w:color w:val="auto"/>
          <w:sz w:val="24"/>
          <w:szCs w:val="24"/>
        </w:rPr>
      </w:pPr>
    </w:p>
    <w:p w14:paraId="1B0428E7">
      <w:pPr>
        <w:widowControl/>
        <w:wordWrap w:val="0"/>
        <w:spacing w:line="360" w:lineRule="auto"/>
        <w:jc w:val="both"/>
        <w:outlineLvl w:val="9"/>
        <w:rPr>
          <w:rFonts w:hint="eastAsia" w:ascii="仿宋" w:hAnsi="仿宋" w:eastAsia="仿宋" w:cs="仿宋"/>
          <w:color w:val="auto"/>
          <w:sz w:val="24"/>
          <w:szCs w:val="24"/>
        </w:rPr>
      </w:pPr>
    </w:p>
    <w:p w14:paraId="2A186ECA">
      <w:pPr>
        <w:widowControl/>
        <w:wordWrap w:val="0"/>
        <w:spacing w:line="360" w:lineRule="auto"/>
        <w:ind w:firstLine="480" w:firstLineChars="200"/>
        <w:jc w:val="both"/>
        <w:outlineLvl w:val="9"/>
        <w:rPr>
          <w:rFonts w:hint="eastAsia" w:ascii="仿宋" w:hAnsi="仿宋" w:eastAsia="仿宋" w:cs="仿宋"/>
          <w:color w:val="auto"/>
          <w:sz w:val="24"/>
          <w:szCs w:val="24"/>
        </w:rPr>
      </w:pPr>
      <w:r>
        <w:rPr>
          <w:rFonts w:hint="eastAsia" w:ascii="仿宋" w:hAnsi="仿宋" w:eastAsia="仿宋" w:cs="仿宋"/>
          <w:color w:val="auto"/>
          <w:sz w:val="24"/>
          <w:szCs w:val="24"/>
        </w:rPr>
        <w:t>供应商名称（单位公章）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p>
    <w:p w14:paraId="368B6C1D">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法定代表人或授权代表（签字）：</w:t>
      </w:r>
    </w:p>
    <w:p w14:paraId="2293A5A6">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p>
    <w:p w14:paraId="229F38E2">
      <w:pPr>
        <w:spacing w:line="360" w:lineRule="auto"/>
        <w:outlineLvl w:val="2"/>
        <w:rPr>
          <w:rFonts w:hint="eastAsia" w:ascii="仿宋" w:hAnsi="仿宋" w:eastAsia="仿宋" w:cs="仿宋"/>
          <w:b/>
          <w:bCs/>
          <w:color w:val="auto"/>
          <w:spacing w:val="-2"/>
          <w:sz w:val="24"/>
          <w:highlight w:val="none"/>
          <w:lang w:eastAsia="zh-CN"/>
        </w:rPr>
      </w:pPr>
      <w:r>
        <w:rPr>
          <w:rFonts w:hint="eastAsia" w:ascii="仿宋" w:hAnsi="仿宋" w:eastAsia="仿宋" w:cs="仿宋"/>
          <w:color w:val="auto"/>
          <w:sz w:val="24"/>
          <w:highlight w:val="none"/>
          <w:lang w:val="zh-CN"/>
        </w:rPr>
        <w:br w:type="page"/>
      </w:r>
      <w:bookmarkStart w:id="64" w:name="_Toc28757"/>
      <w:bookmarkStart w:id="65" w:name="_Toc28015"/>
      <w:r>
        <w:rPr>
          <w:rFonts w:hint="eastAsia" w:ascii="仿宋" w:hAnsi="仿宋" w:eastAsia="仿宋" w:cs="仿宋"/>
          <w:b/>
          <w:bCs/>
          <w:color w:val="auto"/>
          <w:sz w:val="24"/>
          <w:szCs w:val="24"/>
          <w:highlight w:val="none"/>
        </w:rPr>
        <w:t>格式1-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eastAsia="zh-CN"/>
        </w:rPr>
        <w:t>供应商应提供的其他资格相关证明材料</w:t>
      </w:r>
    </w:p>
    <w:p w14:paraId="56D46D81">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 w:hAnsi="仿宋" w:eastAsia="仿宋" w:cs="仿宋"/>
          <w:b/>
          <w:bCs/>
          <w:color w:val="auto"/>
          <w:spacing w:val="-2"/>
          <w:sz w:val="36"/>
          <w:szCs w:val="36"/>
          <w:highlight w:val="none"/>
          <w:lang w:eastAsia="zh-CN"/>
        </w:rPr>
      </w:pPr>
      <w:r>
        <w:rPr>
          <w:rFonts w:hint="eastAsia" w:ascii="仿宋" w:hAnsi="仿宋" w:eastAsia="仿宋" w:cs="仿宋"/>
          <w:b/>
          <w:bCs/>
          <w:color w:val="auto"/>
          <w:spacing w:val="-2"/>
          <w:sz w:val="36"/>
          <w:szCs w:val="36"/>
          <w:highlight w:val="none"/>
          <w:lang w:eastAsia="zh-CN"/>
        </w:rPr>
        <w:t>供应商应提供的其他资格相关证明材料</w:t>
      </w:r>
    </w:p>
    <w:p w14:paraId="686D194F">
      <w:pPr>
        <w:spacing w:line="360" w:lineRule="auto"/>
        <w:ind w:firstLine="480" w:firstLineChars="200"/>
        <w:rPr>
          <w:rFonts w:hint="eastAsia" w:ascii="仿宋" w:hAnsi="仿宋" w:eastAsia="仿宋" w:cs="仿宋"/>
          <w:color w:val="auto"/>
          <w:sz w:val="24"/>
          <w:szCs w:val="24"/>
        </w:rPr>
      </w:pPr>
    </w:p>
    <w:p w14:paraId="7B932310">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注：供应商应按</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文件第四章相关要求提供佐证材料，有格式要求的从其要求，无格式要求的格式自拟。</w:t>
      </w:r>
    </w:p>
    <w:bookmarkEnd w:id="64"/>
    <w:bookmarkEnd w:id="65"/>
    <w:p w14:paraId="6DDA54CF">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left"/>
        <w:textAlignment w:val="auto"/>
        <w:outlineLvl w:val="9"/>
        <w:rPr>
          <w:rFonts w:hint="eastAsia" w:ascii="仿宋" w:hAnsi="仿宋" w:eastAsia="仿宋" w:cs="仿宋"/>
          <w:b/>
          <w:bCs w:val="0"/>
          <w:color w:val="auto"/>
          <w:sz w:val="36"/>
          <w:szCs w:val="36"/>
          <w:highlight w:val="none"/>
          <w:lang w:eastAsia="zh-CN"/>
        </w:rPr>
      </w:pPr>
      <w:bookmarkStart w:id="66" w:name="_Toc14975"/>
      <w:bookmarkStart w:id="67" w:name="_Toc21416"/>
      <w:r>
        <w:rPr>
          <w:rFonts w:hint="eastAsia" w:ascii="仿宋" w:hAnsi="仿宋" w:eastAsia="仿宋" w:cs="仿宋"/>
          <w:b/>
          <w:bCs w:val="0"/>
          <w:color w:val="auto"/>
          <w:sz w:val="36"/>
          <w:szCs w:val="36"/>
          <w:highlight w:val="none"/>
          <w:lang w:eastAsia="zh-CN"/>
        </w:rPr>
        <w:br w:type="page"/>
      </w:r>
    </w:p>
    <w:bookmarkEnd w:id="66"/>
    <w:bookmarkEnd w:id="67"/>
    <w:p w14:paraId="3C9D8A5B">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部分“</w:t>
      </w:r>
      <w:r>
        <w:rPr>
          <w:rFonts w:hint="eastAsia" w:ascii="仿宋" w:hAnsi="仿宋" w:eastAsia="仿宋" w:cs="仿宋"/>
          <w:b/>
          <w:bCs/>
          <w:color w:val="auto"/>
          <w:sz w:val="30"/>
          <w:szCs w:val="30"/>
          <w:lang w:eastAsia="zh-CN"/>
        </w:rPr>
        <w:t>其他</w:t>
      </w:r>
      <w:r>
        <w:rPr>
          <w:rFonts w:hint="eastAsia" w:ascii="仿宋" w:hAnsi="仿宋" w:eastAsia="仿宋" w:cs="仿宋"/>
          <w:b/>
          <w:bCs/>
          <w:color w:val="auto"/>
          <w:sz w:val="30"/>
          <w:szCs w:val="30"/>
        </w:rPr>
        <w:t>响应文件”格式</w:t>
      </w:r>
    </w:p>
    <w:p w14:paraId="0378BFBE">
      <w:pPr>
        <w:pStyle w:val="2"/>
        <w:rPr>
          <w:rFonts w:hint="eastAsia" w:ascii="仿宋" w:hAnsi="仿宋" w:eastAsia="仿宋" w:cs="仿宋"/>
          <w:color w:val="auto"/>
        </w:rPr>
      </w:pPr>
    </w:p>
    <w:p w14:paraId="07FC83D2">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color w:val="auto"/>
          <w:sz w:val="24"/>
          <w:szCs w:val="24"/>
        </w:rPr>
        <w:t>格式</w:t>
      </w:r>
      <w:r>
        <w:rPr>
          <w:rFonts w:hint="eastAsia" w:ascii="仿宋" w:hAnsi="仿宋" w:eastAsia="仿宋" w:cs="仿宋"/>
          <w:b/>
          <w:color w:val="auto"/>
          <w:sz w:val="24"/>
          <w:szCs w:val="24"/>
          <w:lang w:val="en-US" w:eastAsia="zh-CN"/>
        </w:rPr>
        <w:t>2-1</w:t>
      </w:r>
      <w:r>
        <w:rPr>
          <w:rFonts w:hint="eastAsia" w:ascii="仿宋" w:hAnsi="仿宋" w:eastAsia="仿宋" w:cs="仿宋"/>
          <w:b/>
          <w:bCs/>
          <w:color w:val="auto"/>
          <w:sz w:val="24"/>
        </w:rPr>
        <w:t>:</w:t>
      </w:r>
      <w:r>
        <w:rPr>
          <w:rFonts w:hint="eastAsia" w:ascii="仿宋" w:hAnsi="仿宋" w:eastAsia="仿宋" w:cs="仿宋"/>
          <w:b/>
          <w:bCs/>
          <w:color w:val="auto"/>
          <w:sz w:val="24"/>
          <w:szCs w:val="24"/>
          <w:lang w:eastAsia="zh-CN"/>
        </w:rPr>
        <w:t>其他</w:t>
      </w:r>
      <w:r>
        <w:rPr>
          <w:rFonts w:hint="eastAsia" w:ascii="仿宋" w:hAnsi="仿宋" w:eastAsia="仿宋" w:cs="仿宋"/>
          <w:b/>
          <w:bCs/>
          <w:color w:val="auto"/>
          <w:sz w:val="24"/>
          <w:szCs w:val="24"/>
        </w:rPr>
        <w:t>响应文件封面</w:t>
      </w:r>
    </w:p>
    <w:p w14:paraId="044F87CD">
      <w:pPr>
        <w:pStyle w:val="2"/>
        <w:rPr>
          <w:rFonts w:hint="eastAsia" w:ascii="仿宋" w:hAnsi="仿宋" w:eastAsia="仿宋" w:cs="仿宋"/>
          <w:b/>
          <w:bCs/>
          <w:color w:val="auto"/>
          <w:sz w:val="30"/>
          <w:szCs w:val="30"/>
        </w:rPr>
      </w:pPr>
    </w:p>
    <w:p w14:paraId="09176752">
      <w:pPr>
        <w:rPr>
          <w:rFonts w:hint="eastAsia" w:ascii="仿宋" w:hAnsi="仿宋" w:eastAsia="仿宋" w:cs="仿宋"/>
          <w:color w:val="auto"/>
        </w:rPr>
      </w:pPr>
    </w:p>
    <w:p w14:paraId="2C0A34C1">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26035</wp:posOffset>
                </wp:positionV>
                <wp:extent cx="1714500" cy="43815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45EFE39">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4.5pt;width:135pt;z-index:251664384;mso-width-relative:page;mso-height-relative:page;" fillcolor="#FFFFFF" filled="t" stroked="t" coordsize="21600,21600" o:gfxdata="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jK41QAAAAgBAAAPAAAAAAAAAAEAIAAAACIAAABk&#10;cnMvZG93bnJldi54bWxQSwECFAAUAAAACACHTuJAgAHXpQkCAAA5BAAADgAAAAAAAAABACAAAAAk&#10;AQAAZHJzL2Uyb0RvYy54bWxQSwUGAAAAAAYABgBZAQAAnwUAAAAA&#10;">
                <v:fill on="t" focussize="0,0"/>
                <v:stroke color="#000000" joinstyle="miter"/>
                <v:imagedata o:title=""/>
                <o:lock v:ext="edit" aspectratio="f"/>
                <v:textbox>
                  <w:txbxContent>
                    <w:p w14:paraId="145EFE39">
                      <w:pPr>
                        <w:spacing w:line="360" w:lineRule="auto"/>
                        <w:jc w:val="center"/>
                        <w:rPr>
                          <w:b/>
                          <w:sz w:val="36"/>
                          <w:szCs w:val="36"/>
                        </w:rPr>
                      </w:pPr>
                      <w:r>
                        <w:rPr>
                          <w:rFonts w:hint="eastAsia"/>
                          <w:b/>
                          <w:sz w:val="36"/>
                          <w:szCs w:val="36"/>
                        </w:rPr>
                        <w:t>正本或副本</w:t>
                      </w:r>
                    </w:p>
                  </w:txbxContent>
                </v:textbox>
              </v:rect>
            </w:pict>
          </mc:Fallback>
        </mc:AlternateContent>
      </w:r>
    </w:p>
    <w:p w14:paraId="6BB48ABC">
      <w:pPr>
        <w:pStyle w:val="22"/>
        <w:tabs>
          <w:tab w:val="left" w:leader="dot" w:pos="7380"/>
        </w:tabs>
        <w:spacing w:before="100" w:beforeAutospacing="1" w:after="50" w:line="380" w:lineRule="exact"/>
        <w:rPr>
          <w:rFonts w:hint="eastAsia" w:ascii="仿宋" w:hAnsi="仿宋" w:eastAsia="仿宋" w:cs="仿宋"/>
          <w:b/>
          <w:bCs/>
          <w:color w:val="auto"/>
          <w:sz w:val="32"/>
          <w:szCs w:val="32"/>
        </w:rPr>
      </w:pPr>
    </w:p>
    <w:p w14:paraId="206D4CAC">
      <w:pPr>
        <w:tabs>
          <w:tab w:val="left" w:leader="dot" w:pos="7380"/>
        </w:tabs>
        <w:snapToGrid w:val="0"/>
        <w:jc w:val="center"/>
        <w:rPr>
          <w:rFonts w:hint="eastAsia" w:ascii="仿宋" w:hAnsi="仿宋" w:eastAsia="仿宋" w:cs="仿宋"/>
          <w:b/>
          <w:bCs/>
          <w:color w:val="auto"/>
          <w:sz w:val="84"/>
          <w:szCs w:val="84"/>
          <w:lang w:eastAsia="zh-CN"/>
        </w:rPr>
      </w:pPr>
    </w:p>
    <w:p w14:paraId="3C4A780E">
      <w:pPr>
        <w:pStyle w:val="2"/>
        <w:rPr>
          <w:rFonts w:hint="eastAsia" w:ascii="仿宋" w:hAnsi="仿宋" w:eastAsia="仿宋" w:cs="仿宋"/>
          <w:color w:val="auto"/>
          <w:lang w:eastAsia="zh-CN"/>
        </w:rPr>
      </w:pPr>
    </w:p>
    <w:p w14:paraId="7DAD18A8">
      <w:pPr>
        <w:pStyle w:val="2"/>
        <w:rPr>
          <w:rFonts w:hint="eastAsia" w:ascii="仿宋" w:hAnsi="仿宋" w:eastAsia="仿宋" w:cs="仿宋"/>
          <w:color w:val="auto"/>
          <w:lang w:eastAsia="zh-CN"/>
        </w:rPr>
      </w:pPr>
    </w:p>
    <w:p w14:paraId="0C2F9D0A">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其他</w:t>
      </w:r>
      <w:r>
        <w:rPr>
          <w:rFonts w:hint="eastAsia" w:ascii="仿宋" w:hAnsi="仿宋" w:eastAsia="仿宋" w:cs="仿宋"/>
          <w:b/>
          <w:bCs/>
          <w:color w:val="auto"/>
          <w:sz w:val="84"/>
          <w:szCs w:val="84"/>
        </w:rPr>
        <w:t>响应文件</w:t>
      </w:r>
    </w:p>
    <w:p w14:paraId="2F0A9A59">
      <w:pPr>
        <w:tabs>
          <w:tab w:val="left" w:leader="dot" w:pos="7380"/>
        </w:tabs>
        <w:snapToGrid w:val="0"/>
        <w:spacing w:line="324" w:lineRule="auto"/>
        <w:jc w:val="left"/>
        <w:rPr>
          <w:rFonts w:hint="eastAsia" w:ascii="仿宋" w:hAnsi="仿宋" w:eastAsia="仿宋" w:cs="仿宋"/>
          <w:b/>
          <w:bCs/>
          <w:color w:val="auto"/>
          <w:sz w:val="32"/>
          <w:szCs w:val="32"/>
        </w:rPr>
      </w:pPr>
    </w:p>
    <w:p w14:paraId="4DE52788">
      <w:pPr>
        <w:tabs>
          <w:tab w:val="left" w:leader="dot" w:pos="7380"/>
        </w:tabs>
        <w:snapToGrid w:val="0"/>
        <w:spacing w:line="324" w:lineRule="auto"/>
        <w:jc w:val="left"/>
        <w:rPr>
          <w:rFonts w:hint="eastAsia" w:ascii="仿宋" w:hAnsi="仿宋" w:eastAsia="仿宋" w:cs="仿宋"/>
          <w:b/>
          <w:bCs/>
          <w:color w:val="auto"/>
          <w:sz w:val="32"/>
          <w:szCs w:val="32"/>
        </w:rPr>
      </w:pPr>
    </w:p>
    <w:p w14:paraId="5A95FBE4">
      <w:pPr>
        <w:tabs>
          <w:tab w:val="left" w:leader="dot" w:pos="7380"/>
        </w:tabs>
        <w:snapToGrid w:val="0"/>
        <w:spacing w:line="360" w:lineRule="auto"/>
        <w:jc w:val="left"/>
        <w:rPr>
          <w:rFonts w:hint="eastAsia" w:ascii="仿宋" w:hAnsi="仿宋" w:eastAsia="仿宋" w:cs="仿宋"/>
          <w:b/>
          <w:bCs/>
          <w:color w:val="auto"/>
          <w:sz w:val="32"/>
          <w:szCs w:val="32"/>
        </w:rPr>
      </w:pPr>
    </w:p>
    <w:p w14:paraId="129145F2">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14:paraId="50F3E6A9">
      <w:pPr>
        <w:tabs>
          <w:tab w:val="left" w:leader="dot" w:pos="7380"/>
        </w:tabs>
        <w:snapToGrid w:val="0"/>
        <w:spacing w:line="360" w:lineRule="auto"/>
        <w:jc w:val="left"/>
        <w:rPr>
          <w:rFonts w:hint="eastAsia" w:ascii="仿宋" w:hAnsi="仿宋" w:eastAsia="仿宋" w:cs="仿宋"/>
          <w:b/>
          <w:bCs/>
          <w:color w:val="auto"/>
          <w:sz w:val="32"/>
          <w:szCs w:val="32"/>
        </w:rPr>
      </w:pPr>
    </w:p>
    <w:p w14:paraId="19509AB8">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14:paraId="00DCB14A">
      <w:pPr>
        <w:tabs>
          <w:tab w:val="left" w:leader="dot" w:pos="7380"/>
        </w:tabs>
        <w:snapToGrid w:val="0"/>
        <w:spacing w:line="360" w:lineRule="auto"/>
        <w:jc w:val="left"/>
        <w:rPr>
          <w:rFonts w:hint="eastAsia" w:ascii="仿宋" w:hAnsi="仿宋" w:eastAsia="仿宋" w:cs="仿宋"/>
          <w:b/>
          <w:bCs/>
          <w:color w:val="auto"/>
          <w:sz w:val="32"/>
          <w:szCs w:val="32"/>
        </w:rPr>
      </w:pPr>
    </w:p>
    <w:p w14:paraId="433D22F1">
      <w:pPr>
        <w:tabs>
          <w:tab w:val="left" w:leader="dot" w:pos="7380"/>
        </w:tabs>
        <w:snapToGrid w:val="0"/>
        <w:spacing w:line="360" w:lineRule="auto"/>
        <w:jc w:val="left"/>
        <w:rPr>
          <w:rFonts w:hint="eastAsia" w:ascii="仿宋" w:hAnsi="仿宋" w:eastAsia="仿宋" w:cs="仿宋"/>
          <w:b/>
          <w:bCs/>
          <w:color w:val="auto"/>
          <w:sz w:val="32"/>
          <w:szCs w:val="32"/>
        </w:rPr>
      </w:pPr>
    </w:p>
    <w:p w14:paraId="79DFFE29">
      <w:pPr>
        <w:pStyle w:val="2"/>
        <w:rPr>
          <w:rFonts w:hint="eastAsia" w:ascii="仿宋" w:hAnsi="仿宋" w:eastAsia="仿宋" w:cs="仿宋"/>
          <w:color w:val="auto"/>
        </w:rPr>
      </w:pPr>
    </w:p>
    <w:p w14:paraId="3AC0F87D">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14:paraId="7188545F">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14:paraId="175A2CC2">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日 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14:paraId="783CCC90">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14:paraId="3EC19157">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14:paraId="29B1E3FB">
      <w:pPr>
        <w:spacing w:before="100" w:beforeAutospacing="1" w:after="50" w:line="380" w:lineRule="exact"/>
        <w:rPr>
          <w:rFonts w:hint="eastAsia" w:ascii="仿宋" w:hAnsi="仿宋" w:eastAsia="仿宋" w:cs="仿宋"/>
          <w:b/>
          <w:bCs/>
          <w:color w:val="auto"/>
          <w:kern w:val="2"/>
          <w:sz w:val="24"/>
          <w:szCs w:val="24"/>
          <w:highlight w:val="none"/>
          <w:lang w:val="en-US" w:eastAsia="zh-CN" w:bidi="ar-SA"/>
        </w:rPr>
      </w:pPr>
      <w:bookmarkStart w:id="68" w:name="_Toc31804"/>
      <w:bookmarkStart w:id="69" w:name="_Toc4383"/>
      <w:r>
        <w:rPr>
          <w:rFonts w:hint="eastAsia" w:ascii="仿宋" w:hAnsi="仿宋" w:eastAsia="仿宋" w:cs="仿宋"/>
          <w:b/>
          <w:bCs/>
          <w:color w:val="auto"/>
          <w:kern w:val="2"/>
          <w:sz w:val="24"/>
          <w:szCs w:val="24"/>
          <w:highlight w:val="none"/>
          <w:lang w:val="en-US" w:eastAsia="zh-CN" w:bidi="ar-SA"/>
        </w:rPr>
        <w:br w:type="page"/>
      </w:r>
    </w:p>
    <w:bookmarkEnd w:id="68"/>
    <w:bookmarkEnd w:id="69"/>
    <w:p w14:paraId="122D72BB">
      <w:pPr>
        <w:pStyle w:val="6"/>
        <w:rPr>
          <w:rStyle w:val="78"/>
          <w:rFonts w:hint="eastAsia" w:ascii="仿宋" w:hAnsi="仿宋" w:eastAsia="仿宋" w:cs="仿宋"/>
          <w:b/>
          <w:color w:val="auto"/>
          <w:sz w:val="32"/>
          <w:szCs w:val="32"/>
        </w:rPr>
      </w:pPr>
      <w:bookmarkStart w:id="70" w:name="_Toc28170"/>
      <w:bookmarkStart w:id="71" w:name="_Toc21273"/>
      <w:bookmarkStart w:id="72" w:name="_Toc4608"/>
      <w:r>
        <w:rPr>
          <w:rStyle w:val="118"/>
          <w:rFonts w:hint="eastAsia" w:ascii="仿宋" w:hAnsi="仿宋" w:cs="仿宋"/>
          <w:b/>
          <w:color w:val="auto"/>
          <w:sz w:val="24"/>
          <w:szCs w:val="24"/>
          <w:highlight w:val="none"/>
        </w:rPr>
        <w:t>格式</w:t>
      </w:r>
      <w:r>
        <w:rPr>
          <w:rStyle w:val="118"/>
          <w:rFonts w:hint="eastAsia" w:ascii="仿宋" w:hAnsi="仿宋" w:cs="仿宋"/>
          <w:b/>
          <w:color w:val="auto"/>
          <w:sz w:val="24"/>
          <w:szCs w:val="24"/>
          <w:highlight w:val="none"/>
          <w:lang w:val="en-US" w:eastAsia="zh-CN"/>
        </w:rPr>
        <w:t>2-2</w:t>
      </w:r>
      <w:r>
        <w:rPr>
          <w:rFonts w:hint="eastAsia" w:ascii="仿宋" w:hAnsi="仿宋" w:eastAsia="仿宋" w:cs="仿宋"/>
          <w:b/>
          <w:bCs/>
          <w:color w:val="auto"/>
          <w:sz w:val="24"/>
          <w:szCs w:val="24"/>
          <w:highlight w:val="none"/>
          <w:lang w:val="en-US" w:eastAsia="zh-CN"/>
        </w:rPr>
        <w:t>:</w:t>
      </w:r>
      <w:r>
        <w:rPr>
          <w:rStyle w:val="118"/>
          <w:rFonts w:hint="eastAsia" w:ascii="仿宋" w:hAnsi="仿宋" w:cs="仿宋"/>
          <w:b/>
          <w:color w:val="auto"/>
          <w:sz w:val="24"/>
          <w:szCs w:val="24"/>
          <w:highlight w:val="none"/>
          <w:lang w:val="en-US" w:eastAsia="zh-CN"/>
        </w:rPr>
        <w:t>技术服务偏离表</w:t>
      </w:r>
    </w:p>
    <w:p w14:paraId="44BD9F94">
      <w:pPr>
        <w:spacing w:line="360" w:lineRule="auto"/>
        <w:jc w:val="center"/>
        <w:outlineLvl w:val="9"/>
        <w:rPr>
          <w:rFonts w:hint="eastAsia" w:ascii="仿宋" w:hAnsi="仿宋" w:eastAsia="仿宋" w:cs="仿宋"/>
          <w:b/>
          <w:bCs/>
          <w:color w:val="auto"/>
          <w:spacing w:val="-2"/>
          <w:sz w:val="36"/>
          <w:szCs w:val="36"/>
        </w:rPr>
      </w:pPr>
      <w:r>
        <w:rPr>
          <w:rFonts w:hint="eastAsia" w:ascii="仿宋" w:hAnsi="仿宋" w:eastAsia="仿宋" w:cs="仿宋"/>
          <w:b/>
          <w:bCs/>
          <w:color w:val="auto"/>
          <w:spacing w:val="-2"/>
          <w:sz w:val="36"/>
          <w:szCs w:val="36"/>
          <w:lang w:eastAsia="zh-CN"/>
        </w:rPr>
        <w:t>技术服务偏离表</w:t>
      </w:r>
    </w:p>
    <w:p w14:paraId="39AA026B">
      <w:pPr>
        <w:pStyle w:val="2"/>
        <w:rPr>
          <w:rFonts w:hint="eastAsia" w:ascii="仿宋" w:hAnsi="仿宋" w:eastAsia="仿宋" w:cs="仿宋"/>
        </w:rPr>
      </w:pPr>
    </w:p>
    <w:p w14:paraId="1991029D">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14:paraId="22823313">
      <w:pPr>
        <w:pStyle w:val="19"/>
        <w:pBdr>
          <w:bottom w:val="none" w:color="auto" w:sz="0" w:space="0"/>
        </w:pBdr>
        <w:tabs>
          <w:tab w:val="clear" w:pos="4153"/>
          <w:tab w:val="clear" w:pos="8306"/>
        </w:tabs>
        <w:spacing w:line="360" w:lineRule="auto"/>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14:paraId="5EB6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14:paraId="74D2B725">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601" w:type="dxa"/>
            <w:vAlign w:val="center"/>
          </w:tcPr>
          <w:p w14:paraId="77C2B3D0">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3407" w:type="dxa"/>
            <w:vAlign w:val="center"/>
          </w:tcPr>
          <w:p w14:paraId="5B860E62">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rPr>
              <w:t>谈判文件的质量、技术和服务要求</w:t>
            </w:r>
            <w:r>
              <w:rPr>
                <w:rFonts w:hint="eastAsia" w:ascii="仿宋" w:hAnsi="仿宋" w:eastAsia="仿宋" w:cs="仿宋"/>
                <w:color w:val="auto"/>
                <w:sz w:val="24"/>
                <w:lang w:eastAsia="zh-CN"/>
              </w:rPr>
              <w:t>（详见谈判文件第五章）</w:t>
            </w:r>
          </w:p>
        </w:tc>
        <w:tc>
          <w:tcPr>
            <w:tcW w:w="2557" w:type="dxa"/>
            <w:vAlign w:val="center"/>
          </w:tcPr>
          <w:p w14:paraId="4D1CB605">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文件的质量、技术和服务要求</w:t>
            </w:r>
            <w:r>
              <w:rPr>
                <w:rFonts w:hint="eastAsia" w:ascii="仿宋" w:hAnsi="仿宋" w:eastAsia="仿宋" w:cs="仿宋"/>
                <w:color w:val="auto"/>
                <w:sz w:val="24"/>
                <w:lang w:eastAsia="zh-CN"/>
              </w:rPr>
              <w:t>响应情况</w:t>
            </w:r>
          </w:p>
        </w:tc>
        <w:tc>
          <w:tcPr>
            <w:tcW w:w="1267" w:type="dxa"/>
            <w:vAlign w:val="center"/>
          </w:tcPr>
          <w:p w14:paraId="6EA7D997">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w:t>
            </w:r>
            <w:r>
              <w:rPr>
                <w:rFonts w:hint="eastAsia" w:ascii="仿宋" w:hAnsi="仿宋" w:eastAsia="仿宋" w:cs="仿宋"/>
                <w:color w:val="auto"/>
                <w:sz w:val="24"/>
              </w:rPr>
              <w:t>说明</w:t>
            </w:r>
          </w:p>
        </w:tc>
      </w:tr>
      <w:tr w14:paraId="7B6FD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66931746">
            <w:pPr>
              <w:snapToGrid w:val="0"/>
              <w:spacing w:line="360" w:lineRule="auto"/>
              <w:jc w:val="center"/>
              <w:rPr>
                <w:rFonts w:ascii="仿宋" w:hAnsi="仿宋" w:eastAsia="仿宋" w:cs="仿宋"/>
                <w:color w:val="auto"/>
                <w:sz w:val="24"/>
              </w:rPr>
            </w:pPr>
          </w:p>
        </w:tc>
        <w:tc>
          <w:tcPr>
            <w:tcW w:w="1601" w:type="dxa"/>
            <w:vAlign w:val="center"/>
          </w:tcPr>
          <w:p w14:paraId="1E1B6798">
            <w:pPr>
              <w:snapToGrid w:val="0"/>
              <w:spacing w:line="360" w:lineRule="auto"/>
              <w:jc w:val="center"/>
              <w:rPr>
                <w:rFonts w:ascii="仿宋" w:hAnsi="仿宋" w:eastAsia="仿宋" w:cs="仿宋"/>
                <w:color w:val="auto"/>
                <w:sz w:val="24"/>
              </w:rPr>
            </w:pPr>
          </w:p>
        </w:tc>
        <w:tc>
          <w:tcPr>
            <w:tcW w:w="3407" w:type="dxa"/>
            <w:vAlign w:val="center"/>
          </w:tcPr>
          <w:p w14:paraId="2F6F04B3">
            <w:pPr>
              <w:snapToGrid w:val="0"/>
              <w:spacing w:line="360" w:lineRule="auto"/>
              <w:jc w:val="center"/>
              <w:rPr>
                <w:rFonts w:ascii="仿宋" w:hAnsi="仿宋" w:eastAsia="仿宋" w:cs="仿宋"/>
                <w:color w:val="auto"/>
                <w:sz w:val="24"/>
              </w:rPr>
            </w:pPr>
          </w:p>
        </w:tc>
        <w:tc>
          <w:tcPr>
            <w:tcW w:w="2557" w:type="dxa"/>
            <w:vAlign w:val="center"/>
          </w:tcPr>
          <w:p w14:paraId="75153E5F">
            <w:pPr>
              <w:snapToGrid w:val="0"/>
              <w:spacing w:line="360" w:lineRule="auto"/>
              <w:ind w:left="317" w:hanging="316" w:hangingChars="132"/>
              <w:jc w:val="center"/>
              <w:rPr>
                <w:rFonts w:ascii="仿宋" w:hAnsi="仿宋" w:eastAsia="仿宋" w:cs="仿宋"/>
                <w:color w:val="auto"/>
                <w:sz w:val="24"/>
              </w:rPr>
            </w:pPr>
          </w:p>
        </w:tc>
        <w:tc>
          <w:tcPr>
            <w:tcW w:w="1267" w:type="dxa"/>
            <w:vAlign w:val="center"/>
          </w:tcPr>
          <w:p w14:paraId="249EA23A">
            <w:pPr>
              <w:snapToGrid w:val="0"/>
              <w:spacing w:line="360" w:lineRule="auto"/>
              <w:ind w:left="317" w:hanging="316" w:hangingChars="132"/>
              <w:jc w:val="center"/>
              <w:rPr>
                <w:rFonts w:ascii="仿宋" w:hAnsi="仿宋" w:eastAsia="仿宋" w:cs="仿宋"/>
                <w:color w:val="auto"/>
                <w:sz w:val="24"/>
              </w:rPr>
            </w:pPr>
          </w:p>
        </w:tc>
      </w:tr>
      <w:tr w14:paraId="57F92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19474EE7">
            <w:pPr>
              <w:snapToGrid w:val="0"/>
              <w:spacing w:line="360" w:lineRule="auto"/>
              <w:jc w:val="center"/>
              <w:rPr>
                <w:rFonts w:ascii="仿宋" w:hAnsi="仿宋" w:eastAsia="仿宋" w:cs="仿宋"/>
                <w:color w:val="auto"/>
                <w:sz w:val="24"/>
              </w:rPr>
            </w:pPr>
          </w:p>
        </w:tc>
        <w:tc>
          <w:tcPr>
            <w:tcW w:w="1601" w:type="dxa"/>
            <w:vAlign w:val="center"/>
          </w:tcPr>
          <w:p w14:paraId="6DD0B9F0">
            <w:pPr>
              <w:snapToGrid w:val="0"/>
              <w:spacing w:line="360" w:lineRule="auto"/>
              <w:jc w:val="center"/>
              <w:rPr>
                <w:rFonts w:ascii="仿宋" w:hAnsi="仿宋" w:eastAsia="仿宋" w:cs="仿宋"/>
                <w:color w:val="auto"/>
                <w:sz w:val="24"/>
              </w:rPr>
            </w:pPr>
          </w:p>
        </w:tc>
        <w:tc>
          <w:tcPr>
            <w:tcW w:w="3407" w:type="dxa"/>
            <w:vAlign w:val="center"/>
          </w:tcPr>
          <w:p w14:paraId="61B06C72">
            <w:pPr>
              <w:snapToGrid w:val="0"/>
              <w:spacing w:line="360" w:lineRule="auto"/>
              <w:jc w:val="center"/>
              <w:rPr>
                <w:rFonts w:ascii="仿宋" w:hAnsi="仿宋" w:eastAsia="仿宋" w:cs="仿宋"/>
                <w:color w:val="auto"/>
                <w:sz w:val="24"/>
              </w:rPr>
            </w:pPr>
          </w:p>
        </w:tc>
        <w:tc>
          <w:tcPr>
            <w:tcW w:w="2557" w:type="dxa"/>
            <w:vAlign w:val="center"/>
          </w:tcPr>
          <w:p w14:paraId="187154DB">
            <w:pPr>
              <w:snapToGrid w:val="0"/>
              <w:spacing w:line="360" w:lineRule="auto"/>
              <w:jc w:val="center"/>
              <w:rPr>
                <w:rFonts w:ascii="仿宋" w:hAnsi="仿宋" w:eastAsia="仿宋" w:cs="仿宋"/>
                <w:color w:val="auto"/>
                <w:sz w:val="24"/>
              </w:rPr>
            </w:pPr>
          </w:p>
        </w:tc>
        <w:tc>
          <w:tcPr>
            <w:tcW w:w="1267" w:type="dxa"/>
            <w:vAlign w:val="center"/>
          </w:tcPr>
          <w:p w14:paraId="0574DC02">
            <w:pPr>
              <w:snapToGrid w:val="0"/>
              <w:spacing w:line="360" w:lineRule="auto"/>
              <w:jc w:val="center"/>
              <w:rPr>
                <w:rFonts w:ascii="仿宋" w:hAnsi="仿宋" w:eastAsia="仿宋" w:cs="仿宋"/>
                <w:color w:val="auto"/>
                <w:sz w:val="24"/>
              </w:rPr>
            </w:pPr>
          </w:p>
        </w:tc>
      </w:tr>
      <w:tr w14:paraId="1B39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14:paraId="11B2657F">
            <w:pPr>
              <w:snapToGrid w:val="0"/>
              <w:spacing w:line="360" w:lineRule="auto"/>
              <w:jc w:val="center"/>
              <w:rPr>
                <w:rFonts w:ascii="仿宋" w:hAnsi="仿宋" w:eastAsia="仿宋" w:cs="仿宋"/>
                <w:color w:val="auto"/>
                <w:sz w:val="24"/>
              </w:rPr>
            </w:pPr>
          </w:p>
        </w:tc>
        <w:tc>
          <w:tcPr>
            <w:tcW w:w="1601" w:type="dxa"/>
            <w:vAlign w:val="center"/>
          </w:tcPr>
          <w:p w14:paraId="393890AE">
            <w:pPr>
              <w:snapToGrid w:val="0"/>
              <w:spacing w:line="360" w:lineRule="auto"/>
              <w:jc w:val="center"/>
              <w:rPr>
                <w:rFonts w:ascii="仿宋" w:hAnsi="仿宋" w:eastAsia="仿宋" w:cs="仿宋"/>
                <w:color w:val="auto"/>
                <w:sz w:val="24"/>
              </w:rPr>
            </w:pPr>
          </w:p>
        </w:tc>
        <w:tc>
          <w:tcPr>
            <w:tcW w:w="3407" w:type="dxa"/>
            <w:vAlign w:val="center"/>
          </w:tcPr>
          <w:p w14:paraId="3E87DB3A">
            <w:pPr>
              <w:snapToGrid w:val="0"/>
              <w:spacing w:line="360" w:lineRule="auto"/>
              <w:jc w:val="center"/>
              <w:rPr>
                <w:rFonts w:ascii="仿宋" w:hAnsi="仿宋" w:eastAsia="仿宋" w:cs="仿宋"/>
                <w:color w:val="auto"/>
                <w:sz w:val="24"/>
              </w:rPr>
            </w:pPr>
          </w:p>
        </w:tc>
        <w:tc>
          <w:tcPr>
            <w:tcW w:w="2557" w:type="dxa"/>
            <w:vAlign w:val="center"/>
          </w:tcPr>
          <w:p w14:paraId="73C87DFD">
            <w:pPr>
              <w:snapToGrid w:val="0"/>
              <w:spacing w:line="360" w:lineRule="auto"/>
              <w:jc w:val="center"/>
              <w:rPr>
                <w:rFonts w:ascii="仿宋" w:hAnsi="仿宋" w:eastAsia="仿宋" w:cs="仿宋"/>
                <w:color w:val="auto"/>
                <w:sz w:val="24"/>
              </w:rPr>
            </w:pPr>
          </w:p>
        </w:tc>
        <w:tc>
          <w:tcPr>
            <w:tcW w:w="1267" w:type="dxa"/>
            <w:vAlign w:val="center"/>
          </w:tcPr>
          <w:p w14:paraId="509A2EE5">
            <w:pPr>
              <w:snapToGrid w:val="0"/>
              <w:spacing w:line="360" w:lineRule="auto"/>
              <w:jc w:val="center"/>
              <w:rPr>
                <w:rFonts w:ascii="仿宋" w:hAnsi="仿宋" w:eastAsia="仿宋" w:cs="仿宋"/>
                <w:color w:val="auto"/>
                <w:sz w:val="24"/>
              </w:rPr>
            </w:pPr>
          </w:p>
        </w:tc>
      </w:tr>
      <w:tr w14:paraId="18EC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14:paraId="42141F58">
            <w:pPr>
              <w:snapToGrid w:val="0"/>
              <w:spacing w:line="360" w:lineRule="auto"/>
              <w:jc w:val="center"/>
              <w:rPr>
                <w:rFonts w:ascii="仿宋" w:hAnsi="仿宋" w:eastAsia="仿宋" w:cs="仿宋"/>
                <w:color w:val="auto"/>
                <w:sz w:val="24"/>
              </w:rPr>
            </w:pPr>
          </w:p>
        </w:tc>
        <w:tc>
          <w:tcPr>
            <w:tcW w:w="1601" w:type="dxa"/>
            <w:vAlign w:val="center"/>
          </w:tcPr>
          <w:p w14:paraId="161B3F47">
            <w:pPr>
              <w:snapToGrid w:val="0"/>
              <w:spacing w:line="360" w:lineRule="auto"/>
              <w:jc w:val="center"/>
              <w:rPr>
                <w:rFonts w:ascii="仿宋" w:hAnsi="仿宋" w:eastAsia="仿宋" w:cs="仿宋"/>
                <w:color w:val="auto"/>
                <w:sz w:val="24"/>
              </w:rPr>
            </w:pPr>
          </w:p>
        </w:tc>
        <w:tc>
          <w:tcPr>
            <w:tcW w:w="3407" w:type="dxa"/>
            <w:vAlign w:val="center"/>
          </w:tcPr>
          <w:p w14:paraId="33E0FB97">
            <w:pPr>
              <w:snapToGrid w:val="0"/>
              <w:spacing w:line="360" w:lineRule="auto"/>
              <w:jc w:val="center"/>
              <w:rPr>
                <w:rFonts w:ascii="仿宋" w:hAnsi="仿宋" w:eastAsia="仿宋" w:cs="仿宋"/>
                <w:color w:val="auto"/>
                <w:sz w:val="24"/>
              </w:rPr>
            </w:pPr>
          </w:p>
        </w:tc>
        <w:tc>
          <w:tcPr>
            <w:tcW w:w="2557" w:type="dxa"/>
            <w:vAlign w:val="center"/>
          </w:tcPr>
          <w:p w14:paraId="55DFBFC2">
            <w:pPr>
              <w:snapToGrid w:val="0"/>
              <w:spacing w:line="360" w:lineRule="auto"/>
              <w:jc w:val="center"/>
              <w:rPr>
                <w:rFonts w:ascii="仿宋" w:hAnsi="仿宋" w:eastAsia="仿宋" w:cs="仿宋"/>
                <w:color w:val="auto"/>
                <w:sz w:val="24"/>
              </w:rPr>
            </w:pPr>
          </w:p>
        </w:tc>
        <w:tc>
          <w:tcPr>
            <w:tcW w:w="1267" w:type="dxa"/>
            <w:vAlign w:val="center"/>
          </w:tcPr>
          <w:p w14:paraId="5DF4595B">
            <w:pPr>
              <w:snapToGrid w:val="0"/>
              <w:spacing w:line="360" w:lineRule="auto"/>
              <w:jc w:val="center"/>
              <w:rPr>
                <w:rFonts w:ascii="仿宋" w:hAnsi="仿宋" w:eastAsia="仿宋" w:cs="仿宋"/>
                <w:color w:val="auto"/>
                <w:sz w:val="24"/>
              </w:rPr>
            </w:pPr>
          </w:p>
        </w:tc>
      </w:tr>
    </w:tbl>
    <w:p w14:paraId="09716CB1">
      <w:pPr>
        <w:snapToGrid w:val="0"/>
        <w:spacing w:line="360" w:lineRule="auto"/>
        <w:ind w:left="480" w:hanging="480" w:hangingChars="200"/>
        <w:rPr>
          <w:rFonts w:ascii="仿宋" w:hAnsi="仿宋" w:eastAsia="仿宋" w:cs="仿宋"/>
          <w:color w:val="auto"/>
          <w:sz w:val="24"/>
        </w:rPr>
      </w:pPr>
    </w:p>
    <w:p w14:paraId="2880D85B">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“技术参数要求”逐条进行应答</w:t>
      </w:r>
      <w:r>
        <w:rPr>
          <w:rFonts w:hint="eastAsia" w:ascii="仿宋" w:hAnsi="仿宋" w:eastAsia="仿宋" w:cs="仿宋"/>
          <w:bCs/>
          <w:color w:val="auto"/>
          <w:sz w:val="24"/>
        </w:rPr>
        <w:t>。</w:t>
      </w:r>
    </w:p>
    <w:p w14:paraId="5F158CD9">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按照谈判</w:t>
      </w:r>
      <w:r>
        <w:rPr>
          <w:rFonts w:hint="eastAsia" w:ascii="仿宋" w:hAnsi="仿宋" w:eastAsia="仿宋" w:cs="仿宋"/>
          <w:bCs/>
          <w:color w:val="auto"/>
          <w:sz w:val="24"/>
          <w:lang w:eastAsia="zh-CN"/>
        </w:rPr>
        <w:t>文件</w:t>
      </w:r>
      <w:r>
        <w:rPr>
          <w:rFonts w:hint="eastAsia" w:ascii="仿宋" w:hAnsi="仿宋" w:eastAsia="仿宋" w:cs="仿宋"/>
          <w:bCs/>
          <w:color w:val="auto"/>
          <w:sz w:val="24"/>
        </w:rPr>
        <w:t>服务要求的顺序对应填写。</w:t>
      </w:r>
    </w:p>
    <w:p w14:paraId="63987282">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14:paraId="1964C19B">
      <w:pPr>
        <w:snapToGrid w:val="0"/>
        <w:spacing w:line="360" w:lineRule="auto"/>
        <w:ind w:firstLine="480" w:firstLineChars="200"/>
        <w:rPr>
          <w:rFonts w:ascii="仿宋" w:hAnsi="仿宋" w:eastAsia="仿宋" w:cs="仿宋"/>
          <w:bCs/>
          <w:color w:val="auto"/>
          <w:sz w:val="24"/>
        </w:rPr>
      </w:pPr>
    </w:p>
    <w:p w14:paraId="655867FB">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供应商名称（盖章）：</w:t>
      </w:r>
    </w:p>
    <w:p w14:paraId="4EE53411">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14:paraId="45069DF8">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14:paraId="3DBB9FC7">
      <w:pPr>
        <w:rPr>
          <w:rStyle w:val="118"/>
          <w:rFonts w:ascii="仿宋" w:hAnsi="仿宋" w:eastAsia="仿宋" w:cs="仿宋"/>
          <w:b/>
          <w:color w:val="auto"/>
          <w:sz w:val="24"/>
          <w:szCs w:val="24"/>
          <w:highlight w:val="none"/>
        </w:rPr>
      </w:pPr>
      <w:r>
        <w:rPr>
          <w:rStyle w:val="118"/>
          <w:rFonts w:ascii="仿宋" w:hAnsi="仿宋" w:eastAsia="仿宋" w:cs="仿宋"/>
          <w:b/>
          <w:color w:val="auto"/>
          <w:sz w:val="24"/>
          <w:szCs w:val="24"/>
          <w:highlight w:val="none"/>
        </w:rPr>
        <w:br w:type="page"/>
      </w:r>
    </w:p>
    <w:p w14:paraId="4D249FF7">
      <w:pPr>
        <w:pStyle w:val="6"/>
        <w:rPr>
          <w:rFonts w:ascii="仿宋" w:hAnsi="仿宋" w:eastAsia="仿宋" w:cs="仿宋"/>
          <w:color w:val="auto"/>
        </w:rPr>
      </w:pPr>
      <w:bookmarkStart w:id="73" w:name="_Toc11475"/>
      <w:bookmarkStart w:id="74" w:name="_Toc16062"/>
      <w:bookmarkStart w:id="75" w:name="_Toc28456"/>
      <w:bookmarkStart w:id="76" w:name="_Toc2644"/>
      <w:bookmarkStart w:id="77" w:name="_Toc9203"/>
      <w:bookmarkStart w:id="78" w:name="_Toc13871"/>
      <w:bookmarkStart w:id="79" w:name="_Toc10055"/>
      <w:bookmarkStart w:id="80" w:name="_Toc5274"/>
      <w:bookmarkStart w:id="81" w:name="_Toc14958"/>
      <w:bookmarkStart w:id="82" w:name="_Toc29373"/>
      <w:bookmarkStart w:id="83" w:name="_Toc32720"/>
      <w:r>
        <w:rPr>
          <w:rStyle w:val="118"/>
          <w:rFonts w:ascii="仿宋" w:hAnsi="仿宋" w:eastAsia="仿宋" w:cs="仿宋"/>
          <w:b/>
          <w:color w:val="auto"/>
          <w:sz w:val="24"/>
          <w:szCs w:val="24"/>
          <w:highlight w:val="none"/>
        </w:rPr>
        <w:t>格式</w:t>
      </w:r>
      <w:bookmarkEnd w:id="73"/>
      <w:r>
        <w:rPr>
          <w:rStyle w:val="118"/>
          <w:rFonts w:hint="eastAsia" w:ascii="仿宋" w:hAnsi="仿宋" w:cs="仿宋"/>
          <w:b/>
          <w:color w:val="auto"/>
          <w:sz w:val="24"/>
          <w:szCs w:val="24"/>
          <w:highlight w:val="none"/>
          <w:lang w:val="en-US" w:eastAsia="zh-CN"/>
        </w:rPr>
        <w:t>2-3</w:t>
      </w:r>
      <w:r>
        <w:rPr>
          <w:rFonts w:hint="eastAsia" w:ascii="仿宋" w:hAnsi="仿宋" w:eastAsia="仿宋" w:cs="仿宋"/>
          <w:b/>
          <w:bCs/>
          <w:color w:val="auto"/>
          <w:sz w:val="24"/>
          <w:szCs w:val="24"/>
          <w:highlight w:val="none"/>
          <w:lang w:val="en-US" w:eastAsia="zh-CN"/>
        </w:rPr>
        <w:t>:</w:t>
      </w:r>
      <w:bookmarkEnd w:id="74"/>
      <w:bookmarkEnd w:id="75"/>
      <w:bookmarkEnd w:id="76"/>
      <w:bookmarkEnd w:id="77"/>
      <w:bookmarkEnd w:id="78"/>
      <w:bookmarkEnd w:id="79"/>
      <w:bookmarkEnd w:id="80"/>
      <w:bookmarkEnd w:id="81"/>
      <w:bookmarkEnd w:id="82"/>
      <w:bookmarkEnd w:id="83"/>
      <w:r>
        <w:rPr>
          <w:rFonts w:hint="eastAsia" w:ascii="仿宋" w:hAnsi="仿宋" w:eastAsia="仿宋" w:cs="仿宋"/>
          <w:b/>
          <w:bCs/>
          <w:color w:val="auto"/>
          <w:spacing w:val="-2"/>
          <w:sz w:val="24"/>
          <w:szCs w:val="24"/>
          <w:highlight w:val="none"/>
          <w:lang w:eastAsia="zh-CN"/>
        </w:rPr>
        <w:t>商务服务应答表</w:t>
      </w:r>
    </w:p>
    <w:p w14:paraId="3037B563">
      <w:pPr>
        <w:jc w:val="center"/>
        <w:outlineLvl w:val="9"/>
        <w:rPr>
          <w:rFonts w:hint="eastAsia" w:ascii="仿宋" w:hAnsi="仿宋" w:eastAsia="仿宋" w:cs="仿宋"/>
          <w:b/>
          <w:bCs/>
          <w:color w:val="auto"/>
          <w:spacing w:val="-2"/>
          <w:sz w:val="36"/>
          <w:szCs w:val="36"/>
          <w:lang w:eastAsia="zh-CN"/>
        </w:rPr>
      </w:pPr>
      <w:r>
        <w:rPr>
          <w:rFonts w:hint="eastAsia" w:ascii="仿宋" w:hAnsi="仿宋" w:eastAsia="仿宋" w:cs="仿宋"/>
          <w:b/>
          <w:bCs/>
          <w:color w:val="auto"/>
          <w:spacing w:val="-2"/>
          <w:sz w:val="36"/>
          <w:szCs w:val="36"/>
          <w:lang w:eastAsia="zh-CN"/>
        </w:rPr>
        <w:t>商务服务应答表</w:t>
      </w:r>
    </w:p>
    <w:p w14:paraId="41D24E26">
      <w:pPr>
        <w:pStyle w:val="2"/>
        <w:jc w:val="center"/>
        <w:rPr>
          <w:rFonts w:hint="eastAsia" w:ascii="仿宋" w:hAnsi="仿宋" w:eastAsia="仿宋" w:cs="仿宋"/>
          <w:color w:val="auto"/>
          <w:sz w:val="18"/>
          <w:lang w:eastAsia="zh-CN"/>
        </w:rPr>
      </w:pPr>
    </w:p>
    <w:p w14:paraId="3413BE82">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14:paraId="7BA1503A">
      <w:pPr>
        <w:pStyle w:val="19"/>
        <w:pBdr>
          <w:bottom w:val="none" w:color="auto" w:sz="0" w:space="0"/>
        </w:pBdr>
        <w:tabs>
          <w:tab w:val="clear" w:pos="4153"/>
          <w:tab w:val="clear" w:pos="8306"/>
        </w:tabs>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14:paraId="5B306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14:paraId="2D27599F">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2115" w:type="dxa"/>
            <w:vAlign w:val="center"/>
          </w:tcPr>
          <w:p w14:paraId="29B4840A">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2881" w:type="dxa"/>
            <w:vAlign w:val="center"/>
          </w:tcPr>
          <w:p w14:paraId="6AAB30EE">
            <w:pPr>
              <w:snapToGrid w:val="0"/>
              <w:jc w:val="center"/>
              <w:rPr>
                <w:rFonts w:hint="eastAsia" w:ascii="仿宋" w:hAnsi="仿宋" w:eastAsia="仿宋" w:cs="仿宋"/>
                <w:color w:val="auto"/>
                <w:sz w:val="24"/>
              </w:rPr>
            </w:pPr>
            <w:r>
              <w:rPr>
                <w:rFonts w:hint="eastAsia" w:ascii="仿宋" w:hAnsi="仿宋" w:eastAsia="仿宋" w:cs="仿宋"/>
                <w:color w:val="auto"/>
                <w:sz w:val="24"/>
              </w:rPr>
              <w:t>谈判文件的商务条款</w:t>
            </w:r>
          </w:p>
          <w:p w14:paraId="532F1F23">
            <w:pPr>
              <w:snapToGrid w:val="0"/>
              <w:jc w:val="center"/>
              <w:rPr>
                <w:rFonts w:ascii="仿宋" w:hAnsi="仿宋" w:eastAsia="仿宋" w:cs="仿宋"/>
                <w:color w:val="auto"/>
                <w:sz w:val="24"/>
              </w:rPr>
            </w:pPr>
            <w:r>
              <w:rPr>
                <w:rFonts w:hint="eastAsia" w:ascii="仿宋" w:hAnsi="仿宋" w:eastAsia="仿宋" w:cs="仿宋"/>
                <w:color w:val="auto"/>
                <w:sz w:val="24"/>
                <w:lang w:eastAsia="zh-CN"/>
              </w:rPr>
              <w:t>（详见谈判文件第五章）</w:t>
            </w:r>
          </w:p>
        </w:tc>
        <w:tc>
          <w:tcPr>
            <w:tcW w:w="2411" w:type="dxa"/>
            <w:vAlign w:val="center"/>
          </w:tcPr>
          <w:p w14:paraId="46284E14">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文件的商务条款</w:t>
            </w:r>
            <w:r>
              <w:rPr>
                <w:rFonts w:hint="eastAsia" w:ascii="仿宋" w:hAnsi="仿宋" w:eastAsia="仿宋" w:cs="仿宋"/>
                <w:color w:val="auto"/>
                <w:sz w:val="24"/>
                <w:lang w:eastAsia="zh-CN"/>
              </w:rPr>
              <w:t>响应情况</w:t>
            </w:r>
          </w:p>
        </w:tc>
        <w:tc>
          <w:tcPr>
            <w:tcW w:w="1311" w:type="dxa"/>
            <w:vAlign w:val="center"/>
          </w:tcPr>
          <w:p w14:paraId="2ACF01E3">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应答情况</w:t>
            </w:r>
          </w:p>
        </w:tc>
      </w:tr>
      <w:tr w14:paraId="135E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7FD0159C">
            <w:pPr>
              <w:snapToGrid w:val="0"/>
              <w:spacing w:line="360" w:lineRule="auto"/>
              <w:jc w:val="center"/>
              <w:rPr>
                <w:rFonts w:ascii="仿宋" w:hAnsi="仿宋" w:eastAsia="仿宋" w:cs="仿宋"/>
                <w:color w:val="auto"/>
                <w:sz w:val="24"/>
              </w:rPr>
            </w:pPr>
          </w:p>
        </w:tc>
        <w:tc>
          <w:tcPr>
            <w:tcW w:w="2115" w:type="dxa"/>
            <w:vAlign w:val="center"/>
          </w:tcPr>
          <w:p w14:paraId="1C14244F">
            <w:pPr>
              <w:snapToGrid w:val="0"/>
              <w:spacing w:line="360" w:lineRule="auto"/>
              <w:jc w:val="center"/>
              <w:rPr>
                <w:rFonts w:ascii="仿宋" w:hAnsi="仿宋" w:eastAsia="仿宋" w:cs="仿宋"/>
                <w:color w:val="auto"/>
                <w:sz w:val="24"/>
              </w:rPr>
            </w:pPr>
          </w:p>
        </w:tc>
        <w:tc>
          <w:tcPr>
            <w:tcW w:w="2881" w:type="dxa"/>
            <w:vAlign w:val="center"/>
          </w:tcPr>
          <w:p w14:paraId="5081E0CF">
            <w:pPr>
              <w:snapToGrid w:val="0"/>
              <w:spacing w:line="360" w:lineRule="auto"/>
              <w:jc w:val="center"/>
              <w:rPr>
                <w:rFonts w:ascii="仿宋" w:hAnsi="仿宋" w:eastAsia="仿宋" w:cs="仿宋"/>
                <w:color w:val="auto"/>
                <w:sz w:val="24"/>
              </w:rPr>
            </w:pPr>
          </w:p>
        </w:tc>
        <w:tc>
          <w:tcPr>
            <w:tcW w:w="2411" w:type="dxa"/>
            <w:vAlign w:val="center"/>
          </w:tcPr>
          <w:p w14:paraId="578F3AE9">
            <w:pPr>
              <w:snapToGrid w:val="0"/>
              <w:spacing w:line="360" w:lineRule="auto"/>
              <w:ind w:left="317" w:hanging="316" w:hangingChars="132"/>
              <w:jc w:val="center"/>
              <w:rPr>
                <w:rFonts w:ascii="仿宋" w:hAnsi="仿宋" w:eastAsia="仿宋" w:cs="仿宋"/>
                <w:color w:val="auto"/>
                <w:sz w:val="24"/>
              </w:rPr>
            </w:pPr>
          </w:p>
        </w:tc>
        <w:tc>
          <w:tcPr>
            <w:tcW w:w="1311" w:type="dxa"/>
            <w:vAlign w:val="center"/>
          </w:tcPr>
          <w:p w14:paraId="2F3D2B14">
            <w:pPr>
              <w:snapToGrid w:val="0"/>
              <w:spacing w:line="360" w:lineRule="auto"/>
              <w:ind w:left="317" w:hanging="316" w:hangingChars="132"/>
              <w:jc w:val="center"/>
              <w:rPr>
                <w:rFonts w:ascii="仿宋" w:hAnsi="仿宋" w:eastAsia="仿宋" w:cs="仿宋"/>
                <w:color w:val="auto"/>
                <w:sz w:val="24"/>
              </w:rPr>
            </w:pPr>
          </w:p>
        </w:tc>
      </w:tr>
      <w:tr w14:paraId="3E953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033E2E59">
            <w:pPr>
              <w:snapToGrid w:val="0"/>
              <w:spacing w:line="360" w:lineRule="auto"/>
              <w:jc w:val="center"/>
              <w:rPr>
                <w:rFonts w:ascii="仿宋" w:hAnsi="仿宋" w:eastAsia="仿宋" w:cs="仿宋"/>
                <w:color w:val="auto"/>
                <w:sz w:val="24"/>
              </w:rPr>
            </w:pPr>
          </w:p>
        </w:tc>
        <w:tc>
          <w:tcPr>
            <w:tcW w:w="2115" w:type="dxa"/>
            <w:vAlign w:val="center"/>
          </w:tcPr>
          <w:p w14:paraId="6C5EDA17">
            <w:pPr>
              <w:snapToGrid w:val="0"/>
              <w:spacing w:line="360" w:lineRule="auto"/>
              <w:jc w:val="center"/>
              <w:rPr>
                <w:rFonts w:ascii="仿宋" w:hAnsi="仿宋" w:eastAsia="仿宋" w:cs="仿宋"/>
                <w:color w:val="auto"/>
                <w:sz w:val="24"/>
              </w:rPr>
            </w:pPr>
          </w:p>
        </w:tc>
        <w:tc>
          <w:tcPr>
            <w:tcW w:w="2881" w:type="dxa"/>
            <w:vAlign w:val="center"/>
          </w:tcPr>
          <w:p w14:paraId="2F794772">
            <w:pPr>
              <w:snapToGrid w:val="0"/>
              <w:spacing w:line="360" w:lineRule="auto"/>
              <w:jc w:val="center"/>
              <w:rPr>
                <w:rFonts w:ascii="仿宋" w:hAnsi="仿宋" w:eastAsia="仿宋" w:cs="仿宋"/>
                <w:color w:val="auto"/>
                <w:sz w:val="24"/>
              </w:rPr>
            </w:pPr>
          </w:p>
        </w:tc>
        <w:tc>
          <w:tcPr>
            <w:tcW w:w="2411" w:type="dxa"/>
            <w:vAlign w:val="center"/>
          </w:tcPr>
          <w:p w14:paraId="7A0459D9">
            <w:pPr>
              <w:snapToGrid w:val="0"/>
              <w:spacing w:line="360" w:lineRule="auto"/>
              <w:jc w:val="center"/>
              <w:rPr>
                <w:rFonts w:ascii="仿宋" w:hAnsi="仿宋" w:eastAsia="仿宋" w:cs="仿宋"/>
                <w:color w:val="auto"/>
                <w:sz w:val="24"/>
              </w:rPr>
            </w:pPr>
          </w:p>
        </w:tc>
        <w:tc>
          <w:tcPr>
            <w:tcW w:w="1311" w:type="dxa"/>
            <w:vAlign w:val="center"/>
          </w:tcPr>
          <w:p w14:paraId="44853878">
            <w:pPr>
              <w:snapToGrid w:val="0"/>
              <w:spacing w:line="360" w:lineRule="auto"/>
              <w:jc w:val="center"/>
              <w:rPr>
                <w:rFonts w:ascii="仿宋" w:hAnsi="仿宋" w:eastAsia="仿宋" w:cs="仿宋"/>
                <w:color w:val="auto"/>
                <w:sz w:val="24"/>
              </w:rPr>
            </w:pPr>
          </w:p>
        </w:tc>
      </w:tr>
      <w:tr w14:paraId="5E0D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14:paraId="1B62A0B1">
            <w:pPr>
              <w:snapToGrid w:val="0"/>
              <w:spacing w:line="360" w:lineRule="auto"/>
              <w:jc w:val="center"/>
              <w:rPr>
                <w:rFonts w:ascii="仿宋" w:hAnsi="仿宋" w:eastAsia="仿宋" w:cs="仿宋"/>
                <w:color w:val="auto"/>
                <w:sz w:val="24"/>
              </w:rPr>
            </w:pPr>
          </w:p>
        </w:tc>
        <w:tc>
          <w:tcPr>
            <w:tcW w:w="2115" w:type="dxa"/>
            <w:vAlign w:val="center"/>
          </w:tcPr>
          <w:p w14:paraId="7B75BFD0">
            <w:pPr>
              <w:snapToGrid w:val="0"/>
              <w:spacing w:line="360" w:lineRule="auto"/>
              <w:jc w:val="center"/>
              <w:rPr>
                <w:rFonts w:ascii="仿宋" w:hAnsi="仿宋" w:eastAsia="仿宋" w:cs="仿宋"/>
                <w:color w:val="auto"/>
                <w:sz w:val="24"/>
              </w:rPr>
            </w:pPr>
          </w:p>
        </w:tc>
        <w:tc>
          <w:tcPr>
            <w:tcW w:w="2881" w:type="dxa"/>
            <w:vAlign w:val="center"/>
          </w:tcPr>
          <w:p w14:paraId="4C64B14C">
            <w:pPr>
              <w:snapToGrid w:val="0"/>
              <w:spacing w:line="360" w:lineRule="auto"/>
              <w:jc w:val="center"/>
              <w:rPr>
                <w:rFonts w:ascii="仿宋" w:hAnsi="仿宋" w:eastAsia="仿宋" w:cs="仿宋"/>
                <w:color w:val="auto"/>
                <w:sz w:val="24"/>
              </w:rPr>
            </w:pPr>
          </w:p>
        </w:tc>
        <w:tc>
          <w:tcPr>
            <w:tcW w:w="2411" w:type="dxa"/>
            <w:vAlign w:val="center"/>
          </w:tcPr>
          <w:p w14:paraId="2412E330">
            <w:pPr>
              <w:snapToGrid w:val="0"/>
              <w:spacing w:line="360" w:lineRule="auto"/>
              <w:jc w:val="center"/>
              <w:rPr>
                <w:rFonts w:ascii="仿宋" w:hAnsi="仿宋" w:eastAsia="仿宋" w:cs="仿宋"/>
                <w:color w:val="auto"/>
                <w:sz w:val="24"/>
              </w:rPr>
            </w:pPr>
          </w:p>
        </w:tc>
        <w:tc>
          <w:tcPr>
            <w:tcW w:w="1311" w:type="dxa"/>
            <w:vAlign w:val="center"/>
          </w:tcPr>
          <w:p w14:paraId="35040312">
            <w:pPr>
              <w:snapToGrid w:val="0"/>
              <w:spacing w:line="360" w:lineRule="auto"/>
              <w:jc w:val="center"/>
              <w:rPr>
                <w:rFonts w:ascii="仿宋" w:hAnsi="仿宋" w:eastAsia="仿宋" w:cs="仿宋"/>
                <w:color w:val="auto"/>
                <w:sz w:val="24"/>
              </w:rPr>
            </w:pPr>
          </w:p>
        </w:tc>
      </w:tr>
      <w:tr w14:paraId="0216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14:paraId="3AB0AC61">
            <w:pPr>
              <w:snapToGrid w:val="0"/>
              <w:spacing w:line="360" w:lineRule="auto"/>
              <w:jc w:val="center"/>
              <w:rPr>
                <w:rFonts w:ascii="仿宋" w:hAnsi="仿宋" w:eastAsia="仿宋" w:cs="仿宋"/>
                <w:color w:val="auto"/>
                <w:sz w:val="24"/>
              </w:rPr>
            </w:pPr>
          </w:p>
        </w:tc>
        <w:tc>
          <w:tcPr>
            <w:tcW w:w="2115" w:type="dxa"/>
            <w:vAlign w:val="center"/>
          </w:tcPr>
          <w:p w14:paraId="51DDF800">
            <w:pPr>
              <w:snapToGrid w:val="0"/>
              <w:spacing w:line="360" w:lineRule="auto"/>
              <w:jc w:val="center"/>
              <w:rPr>
                <w:rFonts w:ascii="仿宋" w:hAnsi="仿宋" w:eastAsia="仿宋" w:cs="仿宋"/>
                <w:color w:val="auto"/>
                <w:sz w:val="24"/>
              </w:rPr>
            </w:pPr>
          </w:p>
        </w:tc>
        <w:tc>
          <w:tcPr>
            <w:tcW w:w="2881" w:type="dxa"/>
            <w:vAlign w:val="center"/>
          </w:tcPr>
          <w:p w14:paraId="54B48A95">
            <w:pPr>
              <w:snapToGrid w:val="0"/>
              <w:spacing w:line="360" w:lineRule="auto"/>
              <w:jc w:val="center"/>
              <w:rPr>
                <w:rFonts w:ascii="仿宋" w:hAnsi="仿宋" w:eastAsia="仿宋" w:cs="仿宋"/>
                <w:color w:val="auto"/>
                <w:sz w:val="24"/>
              </w:rPr>
            </w:pPr>
          </w:p>
        </w:tc>
        <w:tc>
          <w:tcPr>
            <w:tcW w:w="2411" w:type="dxa"/>
            <w:vAlign w:val="center"/>
          </w:tcPr>
          <w:p w14:paraId="0D3286BD">
            <w:pPr>
              <w:snapToGrid w:val="0"/>
              <w:spacing w:line="360" w:lineRule="auto"/>
              <w:jc w:val="center"/>
              <w:rPr>
                <w:rFonts w:ascii="仿宋" w:hAnsi="仿宋" w:eastAsia="仿宋" w:cs="仿宋"/>
                <w:color w:val="auto"/>
                <w:sz w:val="24"/>
              </w:rPr>
            </w:pPr>
          </w:p>
        </w:tc>
        <w:tc>
          <w:tcPr>
            <w:tcW w:w="1311" w:type="dxa"/>
            <w:vAlign w:val="center"/>
          </w:tcPr>
          <w:p w14:paraId="569E263B">
            <w:pPr>
              <w:snapToGrid w:val="0"/>
              <w:spacing w:line="360" w:lineRule="auto"/>
              <w:jc w:val="center"/>
              <w:rPr>
                <w:rFonts w:ascii="仿宋" w:hAnsi="仿宋" w:eastAsia="仿宋" w:cs="仿宋"/>
                <w:color w:val="auto"/>
                <w:sz w:val="24"/>
              </w:rPr>
            </w:pPr>
          </w:p>
        </w:tc>
      </w:tr>
    </w:tbl>
    <w:p w14:paraId="7DC53AA2">
      <w:pPr>
        <w:snapToGrid w:val="0"/>
        <w:spacing w:line="360" w:lineRule="auto"/>
        <w:ind w:left="480" w:hanging="480" w:hangingChars="200"/>
        <w:rPr>
          <w:rFonts w:ascii="仿宋" w:hAnsi="仿宋" w:eastAsia="仿宋" w:cs="仿宋"/>
          <w:bCs/>
          <w:color w:val="auto"/>
          <w:sz w:val="24"/>
        </w:rPr>
      </w:pPr>
    </w:p>
    <w:p w14:paraId="21D0C1C0">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“商务要求”逐条进行应答</w:t>
      </w:r>
      <w:r>
        <w:rPr>
          <w:rFonts w:hint="eastAsia" w:ascii="仿宋" w:hAnsi="仿宋" w:eastAsia="仿宋" w:cs="仿宋"/>
          <w:bCs/>
          <w:color w:val="auto"/>
          <w:sz w:val="24"/>
        </w:rPr>
        <w:t>。</w:t>
      </w:r>
    </w:p>
    <w:p w14:paraId="377AE1A1">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w:t>
      </w:r>
      <w:r>
        <w:rPr>
          <w:rFonts w:hint="eastAsia" w:ascii="仿宋" w:hAnsi="仿宋" w:eastAsia="仿宋" w:cs="仿宋"/>
          <w:bCs/>
          <w:color w:val="000000" w:themeColor="text1"/>
          <w:sz w:val="24"/>
          <w14:textFill>
            <w14:solidFill>
              <w14:schemeClr w14:val="tx1"/>
            </w14:solidFill>
          </w14:textFill>
        </w:rPr>
        <w:t>判</w:t>
      </w:r>
      <w:r>
        <w:rPr>
          <w:rFonts w:hint="eastAsia" w:ascii="仿宋" w:hAnsi="仿宋" w:eastAsia="仿宋" w:cs="仿宋"/>
          <w:bCs/>
          <w:color w:val="000000" w:themeColor="text1"/>
          <w:sz w:val="24"/>
          <w:lang w:eastAsia="zh-CN"/>
          <w14:textFill>
            <w14:solidFill>
              <w14:schemeClr w14:val="tx1"/>
            </w14:solidFill>
          </w14:textFill>
        </w:rPr>
        <w:t>文件</w:t>
      </w:r>
      <w:r>
        <w:rPr>
          <w:rFonts w:hint="eastAsia" w:ascii="仿宋" w:hAnsi="仿宋" w:eastAsia="仿宋" w:cs="仿宋"/>
          <w:bCs/>
          <w:color w:val="000000" w:themeColor="text1"/>
          <w:sz w:val="24"/>
          <w14:textFill>
            <w14:solidFill>
              <w14:schemeClr w14:val="tx1"/>
            </w14:solidFill>
          </w14:textFill>
        </w:rPr>
        <w:t>商</w:t>
      </w:r>
      <w:r>
        <w:rPr>
          <w:rFonts w:hint="eastAsia" w:ascii="仿宋" w:hAnsi="仿宋" w:eastAsia="仿宋" w:cs="仿宋"/>
          <w:bCs/>
          <w:color w:val="auto"/>
          <w:sz w:val="24"/>
        </w:rPr>
        <w:t>务要求的顺序对应填写。</w:t>
      </w:r>
    </w:p>
    <w:p w14:paraId="2AFB2321">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14:paraId="3576A512">
      <w:pPr>
        <w:snapToGrid w:val="0"/>
        <w:spacing w:line="360" w:lineRule="auto"/>
        <w:ind w:firstLine="480" w:firstLineChars="200"/>
        <w:rPr>
          <w:rFonts w:ascii="仿宋" w:hAnsi="仿宋" w:eastAsia="仿宋" w:cs="仿宋"/>
          <w:bCs/>
          <w:color w:val="auto"/>
          <w:sz w:val="24"/>
        </w:rPr>
      </w:pPr>
    </w:p>
    <w:p w14:paraId="35FB88C9">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14:paraId="1A6FADFC">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14:paraId="7DBF6422">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14:paraId="2E5D0EBB">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6B801B8F">
      <w:pPr>
        <w:pStyle w:val="6"/>
        <w:jc w:val="both"/>
        <w:rPr>
          <w:rFonts w:ascii="仿宋" w:hAnsi="仿宋" w:eastAsia="仿宋" w:cs="仿宋"/>
          <w:color w:val="auto"/>
          <w:sz w:val="36"/>
          <w:szCs w:val="36"/>
        </w:rPr>
      </w:pP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2-4:</w:t>
      </w:r>
      <w:r>
        <w:rPr>
          <w:rFonts w:hint="eastAsia" w:ascii="仿宋" w:hAnsi="仿宋" w:eastAsia="仿宋" w:cs="仿宋"/>
          <w:b/>
          <w:bCs/>
          <w:color w:val="auto"/>
          <w:spacing w:val="-2"/>
          <w:sz w:val="24"/>
          <w:szCs w:val="24"/>
          <w:highlight w:val="none"/>
        </w:rPr>
        <w:t>拟派入本项目的主要实施人员情况表</w:t>
      </w:r>
    </w:p>
    <w:p w14:paraId="6A4EE85D">
      <w:pPr>
        <w:jc w:val="center"/>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拟派入本项目的主要实施人员情况表</w:t>
      </w:r>
    </w:p>
    <w:p w14:paraId="62559FED">
      <w:pPr>
        <w:pStyle w:val="2"/>
        <w:jc w:val="center"/>
        <w:rPr>
          <w:rFonts w:hint="eastAsia" w:ascii="仿宋" w:hAnsi="仿宋" w:eastAsia="仿宋" w:cs="仿宋"/>
          <w:b/>
          <w:bCs/>
          <w:color w:val="auto"/>
          <w:sz w:val="36"/>
          <w:szCs w:val="36"/>
        </w:rPr>
      </w:pPr>
    </w:p>
    <w:p w14:paraId="46DD401B">
      <w:pPr>
        <w:jc w:val="center"/>
        <w:rPr>
          <w:rFonts w:hint="eastAsia" w:ascii="仿宋" w:hAnsi="仿宋" w:eastAsia="仿宋" w:cs="仿宋"/>
          <w:color w:val="auto"/>
          <w:sz w:val="21"/>
          <w:szCs w:val="24"/>
        </w:rPr>
      </w:pPr>
    </w:p>
    <w:tbl>
      <w:tblPr>
        <w:tblStyle w:val="2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14:paraId="0963B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noWrap w:val="0"/>
            <w:vAlign w:val="center"/>
          </w:tcPr>
          <w:p w14:paraId="694961BF">
            <w:pPr>
              <w:spacing w:line="24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项目管理机构组成表</w:t>
            </w:r>
          </w:p>
        </w:tc>
      </w:tr>
      <w:tr w14:paraId="088E4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noWrap w:val="0"/>
            <w:vAlign w:val="center"/>
          </w:tcPr>
          <w:p w14:paraId="47A1D57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053" w:type="dxa"/>
            <w:vMerge w:val="restart"/>
            <w:noWrap w:val="0"/>
            <w:vAlign w:val="center"/>
          </w:tcPr>
          <w:p w14:paraId="07CE930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155" w:type="dxa"/>
            <w:vMerge w:val="restart"/>
            <w:noWrap w:val="0"/>
            <w:vAlign w:val="center"/>
          </w:tcPr>
          <w:p w14:paraId="7CA9237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5988" w:type="dxa"/>
            <w:gridSpan w:val="5"/>
            <w:noWrap w:val="0"/>
            <w:vAlign w:val="center"/>
          </w:tcPr>
          <w:p w14:paraId="66B378A4">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执业或职业资格证明</w:t>
            </w:r>
          </w:p>
        </w:tc>
      </w:tr>
      <w:tr w14:paraId="00DC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noWrap w:val="0"/>
            <w:vAlign w:val="center"/>
          </w:tcPr>
          <w:p w14:paraId="6601C75E">
            <w:pPr>
              <w:spacing w:line="240" w:lineRule="auto"/>
              <w:ind w:firstLine="480" w:firstLineChars="200"/>
              <w:jc w:val="center"/>
              <w:rPr>
                <w:rFonts w:hint="eastAsia" w:ascii="仿宋" w:hAnsi="仿宋" w:eastAsia="仿宋" w:cs="仿宋"/>
                <w:color w:val="auto"/>
                <w:sz w:val="24"/>
                <w:highlight w:val="none"/>
              </w:rPr>
            </w:pPr>
          </w:p>
        </w:tc>
        <w:tc>
          <w:tcPr>
            <w:tcW w:w="1053" w:type="dxa"/>
            <w:vMerge w:val="continue"/>
            <w:noWrap w:val="0"/>
            <w:vAlign w:val="center"/>
          </w:tcPr>
          <w:p w14:paraId="6AC9C53B">
            <w:pPr>
              <w:spacing w:line="240" w:lineRule="auto"/>
              <w:ind w:firstLine="480" w:firstLineChars="200"/>
              <w:jc w:val="center"/>
              <w:rPr>
                <w:rFonts w:hint="eastAsia" w:ascii="仿宋" w:hAnsi="仿宋" w:eastAsia="仿宋" w:cs="仿宋"/>
                <w:color w:val="auto"/>
                <w:sz w:val="24"/>
                <w:highlight w:val="none"/>
              </w:rPr>
            </w:pPr>
          </w:p>
        </w:tc>
        <w:tc>
          <w:tcPr>
            <w:tcW w:w="1155" w:type="dxa"/>
            <w:vMerge w:val="continue"/>
            <w:noWrap w:val="0"/>
            <w:vAlign w:val="center"/>
          </w:tcPr>
          <w:p w14:paraId="627A8264">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23538419">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944" w:type="dxa"/>
            <w:noWrap w:val="0"/>
            <w:vAlign w:val="center"/>
          </w:tcPr>
          <w:p w14:paraId="02D3DFA7">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级别</w:t>
            </w:r>
          </w:p>
        </w:tc>
        <w:tc>
          <w:tcPr>
            <w:tcW w:w="1684" w:type="dxa"/>
            <w:noWrap w:val="0"/>
            <w:vAlign w:val="center"/>
          </w:tcPr>
          <w:p w14:paraId="15BA7C4E">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1359" w:type="dxa"/>
            <w:noWrap w:val="0"/>
            <w:vAlign w:val="center"/>
          </w:tcPr>
          <w:p w14:paraId="5A56E01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46" w:type="dxa"/>
            <w:noWrap w:val="0"/>
            <w:vAlign w:val="center"/>
          </w:tcPr>
          <w:p w14:paraId="60AC2C5D">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33285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4EB26216">
            <w:pPr>
              <w:spacing w:line="240" w:lineRule="auto"/>
              <w:jc w:val="center"/>
              <w:rPr>
                <w:rFonts w:hint="eastAsia" w:ascii="仿宋" w:hAnsi="仿宋" w:eastAsia="仿宋" w:cs="仿宋"/>
                <w:color w:val="auto"/>
                <w:sz w:val="24"/>
                <w:highlight w:val="none"/>
              </w:rPr>
            </w:pPr>
          </w:p>
        </w:tc>
        <w:tc>
          <w:tcPr>
            <w:tcW w:w="1053" w:type="dxa"/>
            <w:noWrap w:val="0"/>
            <w:vAlign w:val="center"/>
          </w:tcPr>
          <w:p w14:paraId="39FD700E">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7E4516EC">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08B629B6">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34DF2F25">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327B9EB8">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6AF9532E">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0B802826">
            <w:pPr>
              <w:spacing w:line="240" w:lineRule="auto"/>
              <w:ind w:firstLine="480" w:firstLineChars="200"/>
              <w:jc w:val="center"/>
              <w:rPr>
                <w:rFonts w:hint="eastAsia" w:ascii="仿宋" w:hAnsi="仿宋" w:eastAsia="仿宋" w:cs="仿宋"/>
                <w:color w:val="auto"/>
                <w:sz w:val="24"/>
                <w:highlight w:val="none"/>
              </w:rPr>
            </w:pPr>
          </w:p>
        </w:tc>
      </w:tr>
      <w:tr w14:paraId="21D40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77AE4295">
            <w:pPr>
              <w:spacing w:line="240" w:lineRule="auto"/>
              <w:jc w:val="center"/>
              <w:rPr>
                <w:rFonts w:hint="eastAsia" w:ascii="仿宋" w:hAnsi="仿宋" w:eastAsia="仿宋" w:cs="仿宋"/>
                <w:color w:val="auto"/>
                <w:sz w:val="24"/>
                <w:highlight w:val="none"/>
              </w:rPr>
            </w:pPr>
          </w:p>
        </w:tc>
        <w:tc>
          <w:tcPr>
            <w:tcW w:w="1053" w:type="dxa"/>
            <w:noWrap w:val="0"/>
            <w:vAlign w:val="center"/>
          </w:tcPr>
          <w:p w14:paraId="4861EC93">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278E27A2">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40623EF3">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4F687E70">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4C7CF5A8">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76196B35">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63A9EBA9">
            <w:pPr>
              <w:spacing w:line="240" w:lineRule="auto"/>
              <w:ind w:firstLine="480" w:firstLineChars="200"/>
              <w:jc w:val="center"/>
              <w:rPr>
                <w:rFonts w:hint="eastAsia" w:ascii="仿宋" w:hAnsi="仿宋" w:eastAsia="仿宋" w:cs="仿宋"/>
                <w:color w:val="auto"/>
                <w:sz w:val="24"/>
                <w:highlight w:val="none"/>
              </w:rPr>
            </w:pPr>
          </w:p>
        </w:tc>
      </w:tr>
      <w:tr w14:paraId="4CF3B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7CD56C78">
            <w:pPr>
              <w:spacing w:line="240" w:lineRule="auto"/>
              <w:jc w:val="center"/>
              <w:rPr>
                <w:rFonts w:hint="eastAsia" w:ascii="仿宋" w:hAnsi="仿宋" w:eastAsia="仿宋" w:cs="仿宋"/>
                <w:color w:val="auto"/>
                <w:sz w:val="24"/>
                <w:highlight w:val="none"/>
              </w:rPr>
            </w:pPr>
          </w:p>
        </w:tc>
        <w:tc>
          <w:tcPr>
            <w:tcW w:w="1053" w:type="dxa"/>
            <w:noWrap w:val="0"/>
            <w:vAlign w:val="center"/>
          </w:tcPr>
          <w:p w14:paraId="6E1F9FCF">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4A29E048">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69AA220A">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473DD442">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00D6CA3F">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28F9EC8A">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178B35AD">
            <w:pPr>
              <w:spacing w:line="240" w:lineRule="auto"/>
              <w:ind w:firstLine="480" w:firstLineChars="200"/>
              <w:jc w:val="center"/>
              <w:rPr>
                <w:rFonts w:hint="eastAsia" w:ascii="仿宋" w:hAnsi="仿宋" w:eastAsia="仿宋" w:cs="仿宋"/>
                <w:color w:val="auto"/>
                <w:sz w:val="24"/>
                <w:highlight w:val="none"/>
              </w:rPr>
            </w:pPr>
          </w:p>
        </w:tc>
      </w:tr>
      <w:tr w14:paraId="0D0E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650AE717">
            <w:pPr>
              <w:spacing w:line="240" w:lineRule="auto"/>
              <w:jc w:val="center"/>
              <w:rPr>
                <w:rFonts w:hint="eastAsia" w:ascii="仿宋" w:hAnsi="仿宋" w:eastAsia="仿宋" w:cs="仿宋"/>
                <w:color w:val="auto"/>
                <w:sz w:val="24"/>
                <w:highlight w:val="none"/>
              </w:rPr>
            </w:pPr>
          </w:p>
        </w:tc>
        <w:tc>
          <w:tcPr>
            <w:tcW w:w="1053" w:type="dxa"/>
            <w:noWrap w:val="0"/>
            <w:vAlign w:val="center"/>
          </w:tcPr>
          <w:p w14:paraId="72D52D59">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2DA48E7A">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4E930812">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76974404">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77219F7C">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2043E385">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34A0441A">
            <w:pPr>
              <w:spacing w:line="240" w:lineRule="auto"/>
              <w:ind w:firstLine="480" w:firstLineChars="200"/>
              <w:jc w:val="center"/>
              <w:rPr>
                <w:rFonts w:hint="eastAsia" w:ascii="仿宋" w:hAnsi="仿宋" w:eastAsia="仿宋" w:cs="仿宋"/>
                <w:color w:val="auto"/>
                <w:sz w:val="24"/>
                <w:highlight w:val="none"/>
              </w:rPr>
            </w:pPr>
          </w:p>
        </w:tc>
      </w:tr>
      <w:tr w14:paraId="7728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1CD00856">
            <w:pPr>
              <w:spacing w:line="240" w:lineRule="auto"/>
              <w:jc w:val="center"/>
              <w:rPr>
                <w:rFonts w:hint="eastAsia" w:ascii="仿宋" w:hAnsi="仿宋" w:eastAsia="仿宋" w:cs="仿宋"/>
                <w:color w:val="auto"/>
                <w:sz w:val="24"/>
                <w:highlight w:val="none"/>
              </w:rPr>
            </w:pPr>
          </w:p>
        </w:tc>
        <w:tc>
          <w:tcPr>
            <w:tcW w:w="1053" w:type="dxa"/>
            <w:noWrap w:val="0"/>
            <w:vAlign w:val="center"/>
          </w:tcPr>
          <w:p w14:paraId="499F4E99">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7C23857D">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767460D0">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3354B6FF">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398DDBAC">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6F0400E9">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58AFEBE2">
            <w:pPr>
              <w:spacing w:line="240" w:lineRule="auto"/>
              <w:ind w:firstLine="480" w:firstLineChars="200"/>
              <w:jc w:val="center"/>
              <w:rPr>
                <w:rFonts w:hint="eastAsia" w:ascii="仿宋" w:hAnsi="仿宋" w:eastAsia="仿宋" w:cs="仿宋"/>
                <w:color w:val="auto"/>
                <w:sz w:val="24"/>
                <w:highlight w:val="none"/>
              </w:rPr>
            </w:pPr>
          </w:p>
        </w:tc>
      </w:tr>
      <w:tr w14:paraId="32D97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26F61977">
            <w:pPr>
              <w:spacing w:line="240" w:lineRule="auto"/>
              <w:jc w:val="center"/>
              <w:rPr>
                <w:rFonts w:hint="eastAsia" w:ascii="仿宋" w:hAnsi="仿宋" w:eastAsia="仿宋" w:cs="仿宋"/>
                <w:color w:val="auto"/>
                <w:sz w:val="24"/>
                <w:highlight w:val="none"/>
              </w:rPr>
            </w:pPr>
          </w:p>
        </w:tc>
        <w:tc>
          <w:tcPr>
            <w:tcW w:w="1053" w:type="dxa"/>
            <w:noWrap w:val="0"/>
            <w:vAlign w:val="center"/>
          </w:tcPr>
          <w:p w14:paraId="3082BD8F">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58F17E38">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2406E829">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1DF4A41E">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4C3A7EF1">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54DBDEA7">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54275399">
            <w:pPr>
              <w:spacing w:line="240" w:lineRule="auto"/>
              <w:ind w:firstLine="480" w:firstLineChars="200"/>
              <w:jc w:val="center"/>
              <w:rPr>
                <w:rFonts w:hint="eastAsia" w:ascii="仿宋" w:hAnsi="仿宋" w:eastAsia="仿宋" w:cs="仿宋"/>
                <w:color w:val="auto"/>
                <w:sz w:val="24"/>
                <w:highlight w:val="none"/>
              </w:rPr>
            </w:pPr>
          </w:p>
        </w:tc>
      </w:tr>
      <w:tr w14:paraId="517E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14:paraId="3DB4B4B0">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53" w:type="dxa"/>
            <w:noWrap w:val="0"/>
            <w:vAlign w:val="center"/>
          </w:tcPr>
          <w:p w14:paraId="28B4335D">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2BFDBD77">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14:paraId="01743473">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14:paraId="1E7C0F64">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14:paraId="0CF7AE00">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14:paraId="0C6D81A7">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14:paraId="540EDA6B">
            <w:pPr>
              <w:spacing w:line="240" w:lineRule="auto"/>
              <w:ind w:firstLine="480" w:firstLineChars="200"/>
              <w:jc w:val="center"/>
              <w:rPr>
                <w:rFonts w:hint="eastAsia" w:ascii="仿宋" w:hAnsi="仿宋" w:eastAsia="仿宋" w:cs="仿宋"/>
                <w:color w:val="auto"/>
                <w:sz w:val="24"/>
                <w:highlight w:val="none"/>
              </w:rPr>
            </w:pPr>
          </w:p>
        </w:tc>
      </w:tr>
    </w:tbl>
    <w:p w14:paraId="4D426ACB">
      <w:pPr>
        <w:snapToGrid w:val="0"/>
        <w:spacing w:line="360" w:lineRule="auto"/>
        <w:ind w:firstLine="480" w:firstLineChars="200"/>
        <w:rPr>
          <w:rFonts w:ascii="仿宋" w:hAnsi="仿宋" w:eastAsia="仿宋" w:cs="仿宋"/>
          <w:color w:val="auto"/>
          <w:sz w:val="24"/>
        </w:rPr>
      </w:pPr>
    </w:p>
    <w:p w14:paraId="03F468D0">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w:t>
      </w:r>
      <w:r>
        <w:rPr>
          <w:rFonts w:hint="eastAsia" w:ascii="仿宋" w:hAnsi="仿宋" w:eastAsia="仿宋" w:cs="仿宋"/>
          <w:color w:val="auto"/>
          <w:sz w:val="24"/>
          <w:lang w:eastAsia="zh-CN"/>
        </w:rPr>
        <w:t>影印件</w:t>
      </w:r>
      <w:r>
        <w:rPr>
          <w:rFonts w:hint="eastAsia" w:ascii="仿宋" w:hAnsi="仿宋" w:eastAsia="仿宋" w:cs="仿宋"/>
          <w:color w:val="auto"/>
          <w:sz w:val="24"/>
        </w:rPr>
        <w:t>附在表后。</w:t>
      </w:r>
    </w:p>
    <w:p w14:paraId="7484237D">
      <w:pPr>
        <w:snapToGrid w:val="0"/>
        <w:spacing w:line="360" w:lineRule="auto"/>
        <w:ind w:firstLine="480" w:firstLineChars="200"/>
        <w:rPr>
          <w:rFonts w:ascii="仿宋" w:hAnsi="仿宋" w:eastAsia="仿宋" w:cs="仿宋"/>
          <w:color w:val="auto"/>
          <w:sz w:val="24"/>
        </w:rPr>
      </w:pPr>
    </w:p>
    <w:p w14:paraId="6F7D4777">
      <w:pPr>
        <w:snapToGrid w:val="0"/>
        <w:spacing w:line="360" w:lineRule="auto"/>
        <w:ind w:firstLine="480" w:firstLineChars="200"/>
        <w:rPr>
          <w:rFonts w:ascii="仿宋" w:hAnsi="仿宋" w:eastAsia="仿宋" w:cs="仿宋"/>
          <w:bCs/>
          <w:color w:val="auto"/>
          <w:sz w:val="24"/>
        </w:rPr>
      </w:pPr>
      <w:bookmarkStart w:id="84" w:name="_Toc22168"/>
      <w:bookmarkStart w:id="85" w:name="_Toc9098_WPSOffice_Level2"/>
      <w:bookmarkStart w:id="86" w:name="_Toc7155"/>
      <w:r>
        <w:rPr>
          <w:rFonts w:hint="eastAsia" w:ascii="仿宋" w:hAnsi="仿宋" w:eastAsia="仿宋" w:cs="仿宋"/>
          <w:bCs/>
          <w:color w:val="auto"/>
          <w:sz w:val="24"/>
        </w:rPr>
        <w:t xml:space="preserve">供应商名称（盖章）： </w:t>
      </w:r>
    </w:p>
    <w:p w14:paraId="4D7B1B57">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14:paraId="26C0B2AD">
      <w:pPr>
        <w:pStyle w:val="22"/>
        <w:spacing w:before="0" w:after="0" w:line="360" w:lineRule="auto"/>
        <w:ind w:firstLine="480" w:firstLineChars="200"/>
        <w:rPr>
          <w:rFonts w:ascii="仿宋" w:hAnsi="仿宋" w:eastAsia="仿宋" w:cs="仿宋"/>
          <w:color w:val="auto"/>
          <w:kern w:val="2"/>
        </w:rPr>
      </w:pPr>
      <w:r>
        <w:rPr>
          <w:rFonts w:hint="eastAsia" w:ascii="仿宋" w:hAnsi="仿宋" w:eastAsia="仿宋" w:cs="仿宋"/>
          <w:bCs/>
          <w:color w:val="auto"/>
        </w:rPr>
        <w:t>日   期:</w:t>
      </w:r>
    </w:p>
    <w:p w14:paraId="57E12629">
      <w:pPr>
        <w:rPr>
          <w:rFonts w:ascii="仿宋" w:hAnsi="仿宋" w:eastAsia="仿宋" w:cs="仿宋"/>
          <w:color w:val="auto"/>
        </w:rPr>
      </w:pPr>
      <w:r>
        <w:rPr>
          <w:rFonts w:hint="eastAsia" w:ascii="仿宋" w:hAnsi="仿宋" w:eastAsia="仿宋" w:cs="仿宋"/>
          <w:color w:val="auto"/>
        </w:rPr>
        <w:br w:type="page"/>
      </w:r>
    </w:p>
    <w:bookmarkEnd w:id="84"/>
    <w:bookmarkEnd w:id="85"/>
    <w:bookmarkEnd w:id="86"/>
    <w:p w14:paraId="78D24264">
      <w:pPr>
        <w:snapToGrid/>
        <w:spacing w:line="240" w:lineRule="auto"/>
        <w:ind w:firstLine="0" w:firstLineChars="0"/>
        <w:outlineLvl w:val="2"/>
        <w:rPr>
          <w:rFonts w:hint="eastAsia" w:ascii="仿宋" w:hAnsi="仿宋" w:eastAsia="仿宋" w:cs="仿宋"/>
          <w:b/>
          <w:bCs/>
          <w:color w:val="auto"/>
          <w:spacing w:val="-2"/>
          <w:kern w:val="0"/>
          <w:sz w:val="24"/>
          <w:szCs w:val="24"/>
          <w:highlight w:val="none"/>
          <w:lang w:val="en-US" w:eastAsia="zh-CN" w:bidi="ar-SA"/>
        </w:rPr>
      </w:pPr>
      <w:bookmarkStart w:id="87" w:name="_Toc32367"/>
      <w:bookmarkStart w:id="88" w:name="_Toc18047"/>
      <w:bookmarkStart w:id="89" w:name="_Toc22748"/>
      <w:bookmarkStart w:id="90" w:name="_Toc32510"/>
      <w:bookmarkStart w:id="91" w:name="_Toc23168"/>
      <w:bookmarkStart w:id="92" w:name="_Toc12168"/>
      <w:bookmarkStart w:id="93" w:name="_Toc5095"/>
      <w:bookmarkStart w:id="94" w:name="_Toc27414"/>
      <w:bookmarkStart w:id="95" w:name="_Toc3253"/>
      <w:bookmarkStart w:id="96" w:name="_Toc10907_WPSOffice_Level2"/>
      <w:bookmarkStart w:id="97" w:name="_Toc226877196"/>
      <w:bookmarkStart w:id="98" w:name="_Toc1227"/>
      <w:bookmarkStart w:id="99" w:name="_Toc32408"/>
      <w:r>
        <w:rPr>
          <w:rFonts w:hint="eastAsia" w:ascii="仿宋" w:hAnsi="仿宋" w:eastAsia="仿宋" w:cs="仿宋"/>
          <w:b/>
          <w:bCs/>
          <w:color w:val="auto"/>
          <w:spacing w:val="-2"/>
          <w:kern w:val="0"/>
          <w:sz w:val="24"/>
          <w:szCs w:val="24"/>
          <w:highlight w:val="none"/>
          <w:lang w:val="en-US" w:eastAsia="zh-CN" w:bidi="ar-SA"/>
        </w:rPr>
        <w:t>格式2-5</w:t>
      </w:r>
      <w:r>
        <w:rPr>
          <w:rFonts w:hint="eastAsia" w:ascii="仿宋" w:hAnsi="仿宋" w:eastAsia="仿宋" w:cs="仿宋"/>
          <w:b/>
          <w:bCs/>
          <w:color w:val="auto"/>
          <w:sz w:val="24"/>
        </w:rPr>
        <w:t>:</w:t>
      </w:r>
      <w:r>
        <w:rPr>
          <w:rFonts w:hint="eastAsia" w:ascii="仿宋" w:hAnsi="仿宋" w:eastAsia="仿宋" w:cs="仿宋"/>
          <w:b/>
          <w:bCs/>
          <w:color w:val="auto"/>
          <w:spacing w:val="-2"/>
          <w:kern w:val="0"/>
          <w:sz w:val="24"/>
          <w:szCs w:val="24"/>
          <w:highlight w:val="none"/>
          <w:lang w:val="en-US" w:eastAsia="zh-CN" w:bidi="ar-SA"/>
        </w:rPr>
        <w:t>项目实施及售后服务方案</w:t>
      </w:r>
    </w:p>
    <w:p w14:paraId="6CD7AACC">
      <w:pPr>
        <w:snapToGrid w:val="0"/>
        <w:spacing w:line="360" w:lineRule="auto"/>
        <w:ind w:firstLine="474" w:firstLineChars="200"/>
        <w:rPr>
          <w:rFonts w:hint="eastAsia" w:ascii="仿宋" w:hAnsi="仿宋" w:eastAsia="仿宋" w:cs="仿宋"/>
          <w:b/>
          <w:bCs/>
          <w:color w:val="auto"/>
          <w:spacing w:val="-2"/>
          <w:kern w:val="0"/>
          <w:sz w:val="24"/>
          <w:szCs w:val="24"/>
          <w:highlight w:val="none"/>
          <w:lang w:val="en-US" w:eastAsia="zh-CN" w:bidi="ar-SA"/>
        </w:rPr>
      </w:pPr>
    </w:p>
    <w:p w14:paraId="680DF812">
      <w:pPr>
        <w:jc w:val="center"/>
        <w:outlineLvl w:val="9"/>
        <w:rPr>
          <w:rFonts w:ascii="仿宋" w:hAnsi="仿宋" w:eastAsia="仿宋" w:cs="仿宋"/>
          <w:color w:val="auto"/>
          <w:spacing w:val="-2"/>
          <w:sz w:val="36"/>
          <w:szCs w:val="36"/>
        </w:rPr>
      </w:pPr>
      <w:bookmarkStart w:id="100" w:name="_Toc31522"/>
      <w:bookmarkStart w:id="101" w:name="_Toc14948"/>
      <w:r>
        <w:rPr>
          <w:rFonts w:hint="eastAsia" w:ascii="仿宋" w:hAnsi="仿宋" w:eastAsia="仿宋" w:cs="仿宋"/>
          <w:b/>
          <w:bCs/>
          <w:color w:val="000000"/>
          <w:spacing w:val="-2"/>
          <w:sz w:val="36"/>
          <w:szCs w:val="36"/>
          <w:highlight w:val="none"/>
        </w:rPr>
        <w:t>项目实施及售后服务方案</w:t>
      </w:r>
      <w:bookmarkEnd w:id="100"/>
      <w:bookmarkEnd w:id="101"/>
    </w:p>
    <w:p w14:paraId="7F480E90">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14:paraId="3F45FB81">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14:paraId="32299B45">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14:paraId="6BF3BC2B">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项目编号：</w:t>
      </w:r>
    </w:p>
    <w:p w14:paraId="3FFD48D9">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14:paraId="0E7BE2EA">
      <w:pPr>
        <w:tabs>
          <w:tab w:val="left" w:pos="555"/>
          <w:tab w:val="left" w:pos="2214"/>
          <w:tab w:val="left" w:pos="3774"/>
          <w:tab w:val="left" w:pos="4854"/>
          <w:tab w:val="left" w:pos="5934"/>
          <w:tab w:val="left" w:pos="7014"/>
          <w:tab w:val="left" w:pos="8214"/>
          <w:tab w:val="left" w:pos="10134"/>
          <w:tab w:val="left" w:pos="11124"/>
        </w:tabs>
        <w:snapToGrid w:val="0"/>
        <w:spacing w:line="360" w:lineRule="auto"/>
        <w:jc w:val="center"/>
        <w:rPr>
          <w:rFonts w:ascii="仿宋" w:hAnsi="仿宋" w:eastAsia="仿宋" w:cs="仿宋"/>
          <w:color w:val="auto"/>
          <w:sz w:val="24"/>
        </w:rPr>
      </w:pPr>
    </w:p>
    <w:p w14:paraId="45DB0871">
      <w:pPr>
        <w:snapToGrid w:val="0"/>
        <w:spacing w:line="360"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（由供应商自行编写，格式不限）</w:t>
      </w:r>
    </w:p>
    <w:p w14:paraId="414DF0F5">
      <w:pPr>
        <w:snapToGrid w:val="0"/>
        <w:spacing w:line="360" w:lineRule="auto"/>
        <w:jc w:val="center"/>
        <w:rPr>
          <w:rFonts w:ascii="仿宋" w:hAnsi="仿宋" w:eastAsia="仿宋" w:cs="仿宋"/>
          <w:color w:val="auto"/>
          <w:sz w:val="24"/>
        </w:rPr>
      </w:pPr>
    </w:p>
    <w:p w14:paraId="77285E80">
      <w:pPr>
        <w:snapToGrid w:val="0"/>
        <w:spacing w:line="360" w:lineRule="auto"/>
        <w:jc w:val="center"/>
        <w:rPr>
          <w:rFonts w:ascii="仿宋" w:hAnsi="仿宋" w:eastAsia="仿宋" w:cs="仿宋"/>
          <w:color w:val="auto"/>
          <w:sz w:val="24"/>
        </w:rPr>
      </w:pPr>
    </w:p>
    <w:p w14:paraId="7D7F2297">
      <w:pPr>
        <w:snapToGrid w:val="0"/>
        <w:spacing w:line="360" w:lineRule="auto"/>
        <w:jc w:val="center"/>
        <w:rPr>
          <w:rFonts w:ascii="仿宋" w:hAnsi="仿宋" w:eastAsia="仿宋" w:cs="仿宋"/>
          <w:color w:val="auto"/>
          <w:sz w:val="24"/>
        </w:rPr>
      </w:pPr>
    </w:p>
    <w:p w14:paraId="38417CDA">
      <w:pPr>
        <w:snapToGrid w:val="0"/>
        <w:spacing w:line="360" w:lineRule="auto"/>
        <w:jc w:val="center"/>
        <w:rPr>
          <w:rFonts w:ascii="仿宋" w:hAnsi="仿宋" w:eastAsia="仿宋" w:cs="仿宋"/>
          <w:color w:val="auto"/>
          <w:sz w:val="24"/>
        </w:rPr>
      </w:pPr>
    </w:p>
    <w:p w14:paraId="11E377D4">
      <w:pPr>
        <w:snapToGrid w:val="0"/>
        <w:spacing w:line="360" w:lineRule="auto"/>
        <w:jc w:val="center"/>
        <w:rPr>
          <w:rFonts w:ascii="仿宋" w:hAnsi="仿宋" w:eastAsia="仿宋" w:cs="仿宋"/>
          <w:color w:val="auto"/>
          <w:sz w:val="24"/>
        </w:rPr>
      </w:pPr>
    </w:p>
    <w:p w14:paraId="4EA0E39E">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14:paraId="7A3D5800">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14:paraId="507F6D44">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14:paraId="1EF2FD93">
      <w:pPr>
        <w:rPr>
          <w:rFonts w:hint="eastAsia" w:ascii="仿宋" w:hAnsi="仿宋" w:eastAsia="仿宋" w:cs="仿宋"/>
          <w:bCs/>
          <w:color w:val="auto"/>
        </w:rPr>
      </w:pPr>
      <w:r>
        <w:rPr>
          <w:rFonts w:hint="eastAsia" w:ascii="仿宋" w:hAnsi="仿宋" w:eastAsia="仿宋" w:cs="仿宋"/>
          <w:bCs/>
          <w:color w:val="auto"/>
        </w:rPr>
        <w:br w:type="page"/>
      </w:r>
    </w:p>
    <w:bookmarkEnd w:id="87"/>
    <w:bookmarkEnd w:id="88"/>
    <w:bookmarkEnd w:id="89"/>
    <w:bookmarkEnd w:id="90"/>
    <w:bookmarkEnd w:id="91"/>
    <w:bookmarkEnd w:id="92"/>
    <w:bookmarkEnd w:id="93"/>
    <w:bookmarkEnd w:id="94"/>
    <w:bookmarkEnd w:id="95"/>
    <w:bookmarkEnd w:id="96"/>
    <w:bookmarkEnd w:id="97"/>
    <w:bookmarkEnd w:id="98"/>
    <w:bookmarkEnd w:id="99"/>
    <w:p w14:paraId="5BDB39F9">
      <w:pPr>
        <w:pStyle w:val="2"/>
        <w:keepNext w:val="0"/>
        <w:keepLines w:val="0"/>
        <w:pageBreakBefore w:val="0"/>
        <w:widowControl w:val="0"/>
        <w:kinsoku/>
        <w:wordWrap/>
        <w:overflowPunct/>
        <w:topLinePunct w:val="0"/>
        <w:autoSpaceDE/>
        <w:autoSpaceDN/>
        <w:bidi w:val="0"/>
        <w:adjustRightInd/>
        <w:snapToGrid/>
        <w:spacing w:line="480" w:lineRule="auto"/>
        <w:textAlignment w:val="auto"/>
        <w:outlineLvl w:val="2"/>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2-6</w:t>
      </w:r>
      <w:r>
        <w:rPr>
          <w:rFonts w:hint="eastAsia" w:ascii="仿宋" w:hAnsi="仿宋" w:eastAsia="仿宋" w:cs="仿宋"/>
          <w:b/>
          <w:bCs/>
          <w:color w:val="auto"/>
          <w:sz w:val="24"/>
        </w:rPr>
        <w:t>:</w:t>
      </w:r>
      <w:r>
        <w:rPr>
          <w:rFonts w:hint="eastAsia" w:ascii="仿宋" w:hAnsi="仿宋" w:eastAsia="仿宋" w:cs="仿宋"/>
          <w:b/>
          <w:bCs/>
          <w:color w:val="auto"/>
          <w:spacing w:val="-2"/>
          <w:sz w:val="24"/>
          <w:szCs w:val="24"/>
          <w:highlight w:val="none"/>
        </w:rPr>
        <w:t>供应商基本情况表</w:t>
      </w:r>
      <w:bookmarkEnd w:id="70"/>
      <w:bookmarkEnd w:id="71"/>
      <w:bookmarkEnd w:id="72"/>
    </w:p>
    <w:p w14:paraId="31595F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供应商基本情况表</w:t>
      </w:r>
    </w:p>
    <w:p w14:paraId="6DAD67EA">
      <w:pPr>
        <w:autoSpaceDE w:val="0"/>
        <w:autoSpaceDN w:val="0"/>
        <w:snapToGrid w:val="0"/>
        <w:spacing w:line="360" w:lineRule="auto"/>
        <w:jc w:val="center"/>
        <w:rPr>
          <w:rFonts w:ascii="仿宋" w:hAnsi="仿宋" w:eastAsia="仿宋" w:cs="仿宋"/>
          <w:color w:val="auto"/>
          <w:sz w:val="20"/>
        </w:rPr>
      </w:pPr>
    </w:p>
    <w:tbl>
      <w:tblPr>
        <w:tblStyle w:val="24"/>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14:paraId="436738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14:paraId="2C54FC72">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供应商名称</w:t>
            </w:r>
          </w:p>
        </w:tc>
        <w:tc>
          <w:tcPr>
            <w:tcW w:w="7724" w:type="dxa"/>
            <w:gridSpan w:val="9"/>
            <w:vAlign w:val="center"/>
          </w:tcPr>
          <w:p w14:paraId="132DA180">
            <w:pPr>
              <w:autoSpaceDE w:val="0"/>
              <w:autoSpaceDN w:val="0"/>
              <w:snapToGrid w:val="0"/>
              <w:jc w:val="center"/>
              <w:rPr>
                <w:rFonts w:ascii="仿宋" w:hAnsi="仿宋" w:eastAsia="仿宋" w:cs="仿宋"/>
                <w:color w:val="auto"/>
                <w:sz w:val="24"/>
              </w:rPr>
            </w:pPr>
          </w:p>
        </w:tc>
      </w:tr>
      <w:tr w14:paraId="3D831A0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14:paraId="746568EB">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注册地址</w:t>
            </w:r>
          </w:p>
        </w:tc>
        <w:tc>
          <w:tcPr>
            <w:tcW w:w="3252" w:type="dxa"/>
            <w:gridSpan w:val="5"/>
            <w:vAlign w:val="center"/>
          </w:tcPr>
          <w:p w14:paraId="4B240A71">
            <w:pPr>
              <w:autoSpaceDE w:val="0"/>
              <w:autoSpaceDN w:val="0"/>
              <w:snapToGrid w:val="0"/>
              <w:jc w:val="center"/>
              <w:rPr>
                <w:rFonts w:ascii="仿宋" w:hAnsi="仿宋" w:eastAsia="仿宋" w:cs="仿宋"/>
                <w:color w:val="auto"/>
                <w:sz w:val="24"/>
              </w:rPr>
            </w:pPr>
          </w:p>
        </w:tc>
        <w:tc>
          <w:tcPr>
            <w:tcW w:w="1553" w:type="dxa"/>
            <w:vAlign w:val="center"/>
          </w:tcPr>
          <w:p w14:paraId="5802F99D">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邮政编码</w:t>
            </w:r>
          </w:p>
        </w:tc>
        <w:tc>
          <w:tcPr>
            <w:tcW w:w="2919" w:type="dxa"/>
            <w:gridSpan w:val="3"/>
            <w:vAlign w:val="center"/>
          </w:tcPr>
          <w:p w14:paraId="1EF42F6F">
            <w:pPr>
              <w:autoSpaceDE w:val="0"/>
              <w:autoSpaceDN w:val="0"/>
              <w:snapToGrid w:val="0"/>
              <w:jc w:val="center"/>
              <w:rPr>
                <w:rFonts w:ascii="仿宋" w:hAnsi="仿宋" w:eastAsia="仿宋" w:cs="仿宋"/>
                <w:color w:val="auto"/>
                <w:sz w:val="24"/>
              </w:rPr>
            </w:pPr>
          </w:p>
        </w:tc>
      </w:tr>
      <w:tr w14:paraId="329AB9C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14:paraId="699F8F59">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联系方式</w:t>
            </w:r>
          </w:p>
        </w:tc>
        <w:tc>
          <w:tcPr>
            <w:tcW w:w="1120" w:type="dxa"/>
            <w:gridSpan w:val="2"/>
            <w:vAlign w:val="center"/>
          </w:tcPr>
          <w:p w14:paraId="2473599C">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联系人</w:t>
            </w:r>
          </w:p>
        </w:tc>
        <w:tc>
          <w:tcPr>
            <w:tcW w:w="2132" w:type="dxa"/>
            <w:gridSpan w:val="3"/>
            <w:vAlign w:val="center"/>
          </w:tcPr>
          <w:p w14:paraId="658CBB88">
            <w:pPr>
              <w:autoSpaceDE w:val="0"/>
              <w:autoSpaceDN w:val="0"/>
              <w:snapToGrid w:val="0"/>
              <w:jc w:val="center"/>
              <w:rPr>
                <w:rFonts w:ascii="仿宋" w:hAnsi="仿宋" w:eastAsia="仿宋" w:cs="仿宋"/>
                <w:color w:val="auto"/>
                <w:sz w:val="24"/>
              </w:rPr>
            </w:pPr>
          </w:p>
        </w:tc>
        <w:tc>
          <w:tcPr>
            <w:tcW w:w="1553" w:type="dxa"/>
            <w:vAlign w:val="center"/>
          </w:tcPr>
          <w:p w14:paraId="67B6A504">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2919" w:type="dxa"/>
            <w:gridSpan w:val="3"/>
            <w:vAlign w:val="center"/>
          </w:tcPr>
          <w:p w14:paraId="79C5874F">
            <w:pPr>
              <w:autoSpaceDE w:val="0"/>
              <w:autoSpaceDN w:val="0"/>
              <w:snapToGrid w:val="0"/>
              <w:jc w:val="center"/>
              <w:rPr>
                <w:rFonts w:ascii="仿宋" w:hAnsi="仿宋" w:eastAsia="仿宋" w:cs="仿宋"/>
                <w:color w:val="auto"/>
                <w:sz w:val="24"/>
              </w:rPr>
            </w:pPr>
          </w:p>
        </w:tc>
      </w:tr>
      <w:tr w14:paraId="3C62C13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14:paraId="2C41E9A2">
            <w:pPr>
              <w:autoSpaceDE w:val="0"/>
              <w:autoSpaceDN w:val="0"/>
              <w:snapToGrid w:val="0"/>
              <w:jc w:val="center"/>
              <w:rPr>
                <w:rFonts w:ascii="仿宋" w:hAnsi="仿宋" w:eastAsia="仿宋" w:cs="仿宋"/>
                <w:color w:val="auto"/>
                <w:sz w:val="24"/>
              </w:rPr>
            </w:pPr>
          </w:p>
        </w:tc>
        <w:tc>
          <w:tcPr>
            <w:tcW w:w="1120" w:type="dxa"/>
            <w:gridSpan w:val="2"/>
            <w:vAlign w:val="center"/>
          </w:tcPr>
          <w:p w14:paraId="0322BC03">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传真</w:t>
            </w:r>
          </w:p>
        </w:tc>
        <w:tc>
          <w:tcPr>
            <w:tcW w:w="2132" w:type="dxa"/>
            <w:gridSpan w:val="3"/>
            <w:vAlign w:val="center"/>
          </w:tcPr>
          <w:p w14:paraId="3D68ABC5">
            <w:pPr>
              <w:autoSpaceDE w:val="0"/>
              <w:autoSpaceDN w:val="0"/>
              <w:snapToGrid w:val="0"/>
              <w:jc w:val="center"/>
              <w:rPr>
                <w:rFonts w:ascii="仿宋" w:hAnsi="仿宋" w:eastAsia="仿宋" w:cs="仿宋"/>
                <w:color w:val="auto"/>
                <w:sz w:val="24"/>
              </w:rPr>
            </w:pPr>
          </w:p>
        </w:tc>
        <w:tc>
          <w:tcPr>
            <w:tcW w:w="1553" w:type="dxa"/>
            <w:vAlign w:val="center"/>
          </w:tcPr>
          <w:p w14:paraId="43D5EE70">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网址</w:t>
            </w:r>
          </w:p>
        </w:tc>
        <w:tc>
          <w:tcPr>
            <w:tcW w:w="2919" w:type="dxa"/>
            <w:gridSpan w:val="3"/>
            <w:vAlign w:val="center"/>
          </w:tcPr>
          <w:p w14:paraId="7DDFB612">
            <w:pPr>
              <w:autoSpaceDE w:val="0"/>
              <w:autoSpaceDN w:val="0"/>
              <w:snapToGrid w:val="0"/>
              <w:jc w:val="center"/>
              <w:rPr>
                <w:rFonts w:ascii="仿宋" w:hAnsi="仿宋" w:eastAsia="仿宋" w:cs="仿宋"/>
                <w:color w:val="auto"/>
                <w:sz w:val="24"/>
              </w:rPr>
            </w:pPr>
          </w:p>
        </w:tc>
      </w:tr>
      <w:tr w14:paraId="29D0C7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14:paraId="742D7C79">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组织结构</w:t>
            </w:r>
          </w:p>
        </w:tc>
        <w:tc>
          <w:tcPr>
            <w:tcW w:w="7724" w:type="dxa"/>
            <w:gridSpan w:val="9"/>
            <w:vAlign w:val="center"/>
          </w:tcPr>
          <w:p w14:paraId="0C1D6E0B">
            <w:pPr>
              <w:autoSpaceDE w:val="0"/>
              <w:autoSpaceDN w:val="0"/>
              <w:snapToGrid w:val="0"/>
              <w:jc w:val="center"/>
              <w:rPr>
                <w:rFonts w:ascii="仿宋" w:hAnsi="仿宋" w:eastAsia="仿宋" w:cs="仿宋"/>
                <w:color w:val="auto"/>
                <w:sz w:val="24"/>
              </w:rPr>
            </w:pPr>
          </w:p>
        </w:tc>
      </w:tr>
      <w:tr w14:paraId="7F2AAF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14:paraId="63C6F94A">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法定代表人</w:t>
            </w:r>
          </w:p>
        </w:tc>
        <w:tc>
          <w:tcPr>
            <w:tcW w:w="783" w:type="dxa"/>
            <w:vAlign w:val="center"/>
          </w:tcPr>
          <w:p w14:paraId="1FA3D9C6">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14:paraId="52F61F57">
            <w:pPr>
              <w:autoSpaceDE w:val="0"/>
              <w:autoSpaceDN w:val="0"/>
              <w:snapToGrid w:val="0"/>
              <w:jc w:val="center"/>
              <w:rPr>
                <w:rFonts w:ascii="仿宋" w:hAnsi="仿宋" w:eastAsia="仿宋" w:cs="仿宋"/>
                <w:color w:val="auto"/>
                <w:sz w:val="24"/>
              </w:rPr>
            </w:pPr>
          </w:p>
        </w:tc>
        <w:tc>
          <w:tcPr>
            <w:tcW w:w="1335" w:type="dxa"/>
            <w:gridSpan w:val="2"/>
            <w:vAlign w:val="center"/>
          </w:tcPr>
          <w:p w14:paraId="4C46E506">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14:paraId="06B89C5B">
            <w:pPr>
              <w:autoSpaceDE w:val="0"/>
              <w:autoSpaceDN w:val="0"/>
              <w:snapToGrid w:val="0"/>
              <w:jc w:val="center"/>
              <w:rPr>
                <w:rFonts w:ascii="仿宋" w:hAnsi="仿宋" w:eastAsia="仿宋" w:cs="仿宋"/>
                <w:color w:val="auto"/>
                <w:sz w:val="24"/>
              </w:rPr>
            </w:pPr>
          </w:p>
        </w:tc>
        <w:tc>
          <w:tcPr>
            <w:tcW w:w="1187" w:type="dxa"/>
            <w:gridSpan w:val="2"/>
            <w:vAlign w:val="center"/>
          </w:tcPr>
          <w:p w14:paraId="06854AFE">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14:paraId="7F69A676">
            <w:pPr>
              <w:autoSpaceDE w:val="0"/>
              <w:autoSpaceDN w:val="0"/>
              <w:snapToGrid w:val="0"/>
              <w:jc w:val="center"/>
              <w:rPr>
                <w:rFonts w:ascii="仿宋" w:hAnsi="仿宋" w:eastAsia="仿宋" w:cs="仿宋"/>
                <w:b/>
                <w:bCs/>
                <w:color w:val="auto"/>
                <w:sz w:val="24"/>
              </w:rPr>
            </w:pPr>
          </w:p>
        </w:tc>
      </w:tr>
      <w:tr w14:paraId="13FC7CA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14:paraId="4473239A">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技术负责人</w:t>
            </w:r>
          </w:p>
        </w:tc>
        <w:tc>
          <w:tcPr>
            <w:tcW w:w="783" w:type="dxa"/>
            <w:vAlign w:val="center"/>
          </w:tcPr>
          <w:p w14:paraId="25B3C785">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14:paraId="17272396">
            <w:pPr>
              <w:autoSpaceDE w:val="0"/>
              <w:autoSpaceDN w:val="0"/>
              <w:snapToGrid w:val="0"/>
              <w:jc w:val="center"/>
              <w:rPr>
                <w:rFonts w:ascii="仿宋" w:hAnsi="仿宋" w:eastAsia="仿宋" w:cs="仿宋"/>
                <w:color w:val="auto"/>
                <w:sz w:val="24"/>
              </w:rPr>
            </w:pPr>
          </w:p>
        </w:tc>
        <w:tc>
          <w:tcPr>
            <w:tcW w:w="1335" w:type="dxa"/>
            <w:gridSpan w:val="2"/>
            <w:vAlign w:val="center"/>
          </w:tcPr>
          <w:p w14:paraId="73E90575">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14:paraId="075F4259">
            <w:pPr>
              <w:autoSpaceDE w:val="0"/>
              <w:autoSpaceDN w:val="0"/>
              <w:snapToGrid w:val="0"/>
              <w:jc w:val="center"/>
              <w:rPr>
                <w:rFonts w:ascii="仿宋" w:hAnsi="仿宋" w:eastAsia="仿宋" w:cs="仿宋"/>
                <w:color w:val="auto"/>
                <w:sz w:val="24"/>
              </w:rPr>
            </w:pPr>
          </w:p>
        </w:tc>
        <w:tc>
          <w:tcPr>
            <w:tcW w:w="1187" w:type="dxa"/>
            <w:gridSpan w:val="2"/>
            <w:vAlign w:val="center"/>
          </w:tcPr>
          <w:p w14:paraId="4B93D26A">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14:paraId="13962929">
            <w:pPr>
              <w:autoSpaceDE w:val="0"/>
              <w:autoSpaceDN w:val="0"/>
              <w:snapToGrid w:val="0"/>
              <w:jc w:val="center"/>
              <w:rPr>
                <w:rFonts w:ascii="仿宋" w:hAnsi="仿宋" w:eastAsia="仿宋" w:cs="仿宋"/>
                <w:b/>
                <w:bCs/>
                <w:color w:val="auto"/>
                <w:sz w:val="24"/>
              </w:rPr>
            </w:pPr>
          </w:p>
        </w:tc>
      </w:tr>
      <w:tr w14:paraId="7FAE6E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14:paraId="60EBFE8E">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成立时间</w:t>
            </w:r>
          </w:p>
        </w:tc>
        <w:tc>
          <w:tcPr>
            <w:tcW w:w="1917" w:type="dxa"/>
            <w:gridSpan w:val="3"/>
            <w:vAlign w:val="center"/>
          </w:tcPr>
          <w:p w14:paraId="2E5EED8C">
            <w:pPr>
              <w:autoSpaceDE w:val="0"/>
              <w:autoSpaceDN w:val="0"/>
              <w:snapToGrid w:val="0"/>
              <w:jc w:val="center"/>
              <w:rPr>
                <w:rFonts w:ascii="仿宋" w:hAnsi="仿宋" w:eastAsia="仿宋" w:cs="仿宋"/>
                <w:color w:val="auto"/>
                <w:sz w:val="24"/>
              </w:rPr>
            </w:pPr>
          </w:p>
        </w:tc>
        <w:tc>
          <w:tcPr>
            <w:tcW w:w="5807" w:type="dxa"/>
            <w:gridSpan w:val="6"/>
            <w:vAlign w:val="center"/>
          </w:tcPr>
          <w:p w14:paraId="288F64A6">
            <w:pPr>
              <w:autoSpaceDE w:val="0"/>
              <w:autoSpaceDN w:val="0"/>
              <w:snapToGrid w:val="0"/>
              <w:rPr>
                <w:rFonts w:ascii="仿宋" w:hAnsi="仿宋" w:eastAsia="仿宋" w:cs="仿宋"/>
                <w:color w:val="auto"/>
                <w:sz w:val="24"/>
              </w:rPr>
            </w:pPr>
            <w:r>
              <w:rPr>
                <w:rFonts w:hint="eastAsia" w:ascii="仿宋" w:hAnsi="仿宋" w:eastAsia="仿宋" w:cs="仿宋"/>
                <w:color w:val="auto"/>
                <w:sz w:val="24"/>
              </w:rPr>
              <w:t>　　员工总人数：</w:t>
            </w:r>
          </w:p>
        </w:tc>
      </w:tr>
      <w:tr w14:paraId="4C7953F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14:paraId="257DF9F7">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企业资质</w:t>
            </w:r>
          </w:p>
          <w:p w14:paraId="0EA499C2">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等级</w:t>
            </w:r>
          </w:p>
        </w:tc>
        <w:tc>
          <w:tcPr>
            <w:tcW w:w="1917" w:type="dxa"/>
            <w:gridSpan w:val="3"/>
            <w:vAlign w:val="center"/>
          </w:tcPr>
          <w:p w14:paraId="6E05C02A">
            <w:pPr>
              <w:autoSpaceDE w:val="0"/>
              <w:autoSpaceDN w:val="0"/>
              <w:snapToGrid w:val="0"/>
              <w:jc w:val="center"/>
              <w:rPr>
                <w:rFonts w:ascii="仿宋" w:hAnsi="仿宋" w:eastAsia="仿宋" w:cs="仿宋"/>
                <w:color w:val="auto"/>
                <w:sz w:val="24"/>
              </w:rPr>
            </w:pPr>
          </w:p>
        </w:tc>
        <w:tc>
          <w:tcPr>
            <w:tcW w:w="952" w:type="dxa"/>
            <w:vMerge w:val="restart"/>
            <w:vAlign w:val="center"/>
          </w:tcPr>
          <w:p w14:paraId="52026AEA">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其中</w:t>
            </w:r>
          </w:p>
        </w:tc>
        <w:tc>
          <w:tcPr>
            <w:tcW w:w="1996" w:type="dxa"/>
            <w:gridSpan w:val="3"/>
            <w:vAlign w:val="center"/>
          </w:tcPr>
          <w:p w14:paraId="76E34FB7">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项目经理</w:t>
            </w:r>
          </w:p>
        </w:tc>
        <w:tc>
          <w:tcPr>
            <w:tcW w:w="2859" w:type="dxa"/>
            <w:gridSpan w:val="2"/>
            <w:vAlign w:val="center"/>
          </w:tcPr>
          <w:p w14:paraId="2E5740DF">
            <w:pPr>
              <w:autoSpaceDE w:val="0"/>
              <w:autoSpaceDN w:val="0"/>
              <w:snapToGrid w:val="0"/>
              <w:jc w:val="center"/>
              <w:rPr>
                <w:rFonts w:ascii="仿宋" w:hAnsi="仿宋" w:eastAsia="仿宋" w:cs="仿宋"/>
                <w:b/>
                <w:bCs/>
                <w:color w:val="auto"/>
                <w:sz w:val="24"/>
              </w:rPr>
            </w:pPr>
          </w:p>
        </w:tc>
      </w:tr>
      <w:tr w14:paraId="32FBCD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14:paraId="1461456E">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营业执照号</w:t>
            </w:r>
          </w:p>
        </w:tc>
        <w:tc>
          <w:tcPr>
            <w:tcW w:w="1917" w:type="dxa"/>
            <w:gridSpan w:val="3"/>
            <w:vAlign w:val="center"/>
          </w:tcPr>
          <w:p w14:paraId="4E76AE3D">
            <w:pPr>
              <w:autoSpaceDE w:val="0"/>
              <w:autoSpaceDN w:val="0"/>
              <w:snapToGrid w:val="0"/>
              <w:jc w:val="center"/>
              <w:rPr>
                <w:rFonts w:ascii="仿宋" w:hAnsi="仿宋" w:eastAsia="仿宋" w:cs="仿宋"/>
                <w:color w:val="auto"/>
                <w:sz w:val="24"/>
              </w:rPr>
            </w:pPr>
          </w:p>
        </w:tc>
        <w:tc>
          <w:tcPr>
            <w:tcW w:w="952" w:type="dxa"/>
            <w:vMerge w:val="continue"/>
            <w:vAlign w:val="center"/>
          </w:tcPr>
          <w:p w14:paraId="4ED88588">
            <w:pPr>
              <w:autoSpaceDE w:val="0"/>
              <w:autoSpaceDN w:val="0"/>
              <w:snapToGrid w:val="0"/>
              <w:jc w:val="center"/>
              <w:rPr>
                <w:rFonts w:ascii="仿宋" w:hAnsi="仿宋" w:eastAsia="仿宋" w:cs="仿宋"/>
                <w:color w:val="auto"/>
                <w:sz w:val="24"/>
              </w:rPr>
            </w:pPr>
          </w:p>
        </w:tc>
        <w:tc>
          <w:tcPr>
            <w:tcW w:w="1996" w:type="dxa"/>
            <w:gridSpan w:val="3"/>
            <w:vAlign w:val="center"/>
          </w:tcPr>
          <w:p w14:paraId="0FCEB523">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859" w:type="dxa"/>
            <w:gridSpan w:val="2"/>
            <w:vAlign w:val="center"/>
          </w:tcPr>
          <w:p w14:paraId="38CEB06B">
            <w:pPr>
              <w:autoSpaceDE w:val="0"/>
              <w:autoSpaceDN w:val="0"/>
              <w:snapToGrid w:val="0"/>
              <w:jc w:val="center"/>
              <w:rPr>
                <w:rFonts w:ascii="仿宋" w:hAnsi="仿宋" w:eastAsia="仿宋" w:cs="仿宋"/>
                <w:b/>
                <w:bCs/>
                <w:color w:val="auto"/>
                <w:sz w:val="24"/>
              </w:rPr>
            </w:pPr>
          </w:p>
        </w:tc>
      </w:tr>
      <w:tr w14:paraId="6445095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14:paraId="5BF2023D">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注册资金</w:t>
            </w:r>
          </w:p>
        </w:tc>
        <w:tc>
          <w:tcPr>
            <w:tcW w:w="1917" w:type="dxa"/>
            <w:gridSpan w:val="3"/>
            <w:vAlign w:val="center"/>
          </w:tcPr>
          <w:p w14:paraId="6A027679">
            <w:pPr>
              <w:autoSpaceDE w:val="0"/>
              <w:autoSpaceDN w:val="0"/>
              <w:snapToGrid w:val="0"/>
              <w:jc w:val="center"/>
              <w:rPr>
                <w:rFonts w:ascii="仿宋" w:hAnsi="仿宋" w:eastAsia="仿宋" w:cs="仿宋"/>
                <w:color w:val="auto"/>
                <w:sz w:val="24"/>
              </w:rPr>
            </w:pPr>
          </w:p>
        </w:tc>
        <w:tc>
          <w:tcPr>
            <w:tcW w:w="952" w:type="dxa"/>
            <w:vMerge w:val="continue"/>
            <w:vAlign w:val="center"/>
          </w:tcPr>
          <w:p w14:paraId="2E17B019">
            <w:pPr>
              <w:autoSpaceDE w:val="0"/>
              <w:autoSpaceDN w:val="0"/>
              <w:snapToGrid w:val="0"/>
              <w:jc w:val="center"/>
              <w:rPr>
                <w:rFonts w:ascii="仿宋" w:hAnsi="仿宋" w:eastAsia="仿宋" w:cs="仿宋"/>
                <w:color w:val="auto"/>
                <w:sz w:val="24"/>
              </w:rPr>
            </w:pPr>
          </w:p>
        </w:tc>
        <w:tc>
          <w:tcPr>
            <w:tcW w:w="1996" w:type="dxa"/>
            <w:gridSpan w:val="3"/>
            <w:vAlign w:val="center"/>
          </w:tcPr>
          <w:p w14:paraId="33076FBC">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859" w:type="dxa"/>
            <w:gridSpan w:val="2"/>
            <w:vAlign w:val="center"/>
          </w:tcPr>
          <w:p w14:paraId="7AE92AF5">
            <w:pPr>
              <w:autoSpaceDE w:val="0"/>
              <w:autoSpaceDN w:val="0"/>
              <w:snapToGrid w:val="0"/>
              <w:jc w:val="center"/>
              <w:rPr>
                <w:rFonts w:ascii="仿宋" w:hAnsi="仿宋" w:eastAsia="仿宋" w:cs="仿宋"/>
                <w:b/>
                <w:bCs/>
                <w:color w:val="auto"/>
                <w:sz w:val="24"/>
              </w:rPr>
            </w:pPr>
          </w:p>
        </w:tc>
      </w:tr>
      <w:tr w14:paraId="1DAEBE3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14:paraId="57BF7698">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开户银行</w:t>
            </w:r>
          </w:p>
        </w:tc>
        <w:tc>
          <w:tcPr>
            <w:tcW w:w="1917" w:type="dxa"/>
            <w:gridSpan w:val="3"/>
            <w:vAlign w:val="center"/>
          </w:tcPr>
          <w:p w14:paraId="551B8301">
            <w:pPr>
              <w:autoSpaceDE w:val="0"/>
              <w:autoSpaceDN w:val="0"/>
              <w:snapToGrid w:val="0"/>
              <w:jc w:val="center"/>
              <w:rPr>
                <w:rFonts w:ascii="仿宋" w:hAnsi="仿宋" w:eastAsia="仿宋" w:cs="仿宋"/>
                <w:color w:val="auto"/>
                <w:sz w:val="24"/>
              </w:rPr>
            </w:pPr>
          </w:p>
        </w:tc>
        <w:tc>
          <w:tcPr>
            <w:tcW w:w="952" w:type="dxa"/>
            <w:vMerge w:val="continue"/>
            <w:vAlign w:val="center"/>
          </w:tcPr>
          <w:p w14:paraId="6FB91FF5">
            <w:pPr>
              <w:autoSpaceDE w:val="0"/>
              <w:autoSpaceDN w:val="0"/>
              <w:snapToGrid w:val="0"/>
              <w:jc w:val="center"/>
              <w:rPr>
                <w:rFonts w:ascii="仿宋" w:hAnsi="仿宋" w:eastAsia="仿宋" w:cs="仿宋"/>
                <w:color w:val="auto"/>
                <w:sz w:val="24"/>
              </w:rPr>
            </w:pPr>
          </w:p>
        </w:tc>
        <w:tc>
          <w:tcPr>
            <w:tcW w:w="1996" w:type="dxa"/>
            <w:gridSpan w:val="3"/>
            <w:vAlign w:val="center"/>
          </w:tcPr>
          <w:p w14:paraId="0DA0F159">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859" w:type="dxa"/>
            <w:gridSpan w:val="2"/>
            <w:vAlign w:val="center"/>
          </w:tcPr>
          <w:p w14:paraId="487B087C">
            <w:pPr>
              <w:autoSpaceDE w:val="0"/>
              <w:autoSpaceDN w:val="0"/>
              <w:snapToGrid w:val="0"/>
              <w:jc w:val="center"/>
              <w:rPr>
                <w:rFonts w:ascii="仿宋" w:hAnsi="仿宋" w:eastAsia="仿宋" w:cs="仿宋"/>
                <w:b/>
                <w:bCs/>
                <w:color w:val="auto"/>
                <w:sz w:val="24"/>
              </w:rPr>
            </w:pPr>
          </w:p>
        </w:tc>
      </w:tr>
      <w:tr w14:paraId="01A2727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14:paraId="0A143BDD">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账号</w:t>
            </w:r>
          </w:p>
        </w:tc>
        <w:tc>
          <w:tcPr>
            <w:tcW w:w="1917" w:type="dxa"/>
            <w:gridSpan w:val="3"/>
            <w:vAlign w:val="center"/>
          </w:tcPr>
          <w:p w14:paraId="0E8AB616">
            <w:pPr>
              <w:autoSpaceDE w:val="0"/>
              <w:autoSpaceDN w:val="0"/>
              <w:snapToGrid w:val="0"/>
              <w:jc w:val="center"/>
              <w:rPr>
                <w:rFonts w:ascii="仿宋" w:hAnsi="仿宋" w:eastAsia="仿宋" w:cs="仿宋"/>
                <w:color w:val="auto"/>
                <w:sz w:val="24"/>
              </w:rPr>
            </w:pPr>
          </w:p>
        </w:tc>
        <w:tc>
          <w:tcPr>
            <w:tcW w:w="952" w:type="dxa"/>
            <w:vMerge w:val="continue"/>
            <w:vAlign w:val="center"/>
          </w:tcPr>
          <w:p w14:paraId="2319A408">
            <w:pPr>
              <w:autoSpaceDE w:val="0"/>
              <w:autoSpaceDN w:val="0"/>
              <w:snapToGrid w:val="0"/>
              <w:jc w:val="center"/>
              <w:rPr>
                <w:rFonts w:ascii="仿宋" w:hAnsi="仿宋" w:eastAsia="仿宋" w:cs="仿宋"/>
                <w:color w:val="auto"/>
                <w:sz w:val="24"/>
              </w:rPr>
            </w:pPr>
          </w:p>
        </w:tc>
        <w:tc>
          <w:tcPr>
            <w:tcW w:w="1996" w:type="dxa"/>
            <w:gridSpan w:val="3"/>
            <w:vAlign w:val="center"/>
          </w:tcPr>
          <w:p w14:paraId="20EC6DE4">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技工</w:t>
            </w:r>
          </w:p>
        </w:tc>
        <w:tc>
          <w:tcPr>
            <w:tcW w:w="2859" w:type="dxa"/>
            <w:gridSpan w:val="2"/>
            <w:vAlign w:val="center"/>
          </w:tcPr>
          <w:p w14:paraId="456625FD">
            <w:pPr>
              <w:autoSpaceDE w:val="0"/>
              <w:autoSpaceDN w:val="0"/>
              <w:snapToGrid w:val="0"/>
              <w:jc w:val="center"/>
              <w:rPr>
                <w:rFonts w:ascii="仿宋" w:hAnsi="仿宋" w:eastAsia="仿宋" w:cs="仿宋"/>
                <w:b/>
                <w:bCs/>
                <w:color w:val="auto"/>
                <w:sz w:val="24"/>
              </w:rPr>
            </w:pPr>
          </w:p>
        </w:tc>
      </w:tr>
      <w:tr w14:paraId="7485BB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14:paraId="224370D1">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经营范围</w:t>
            </w:r>
          </w:p>
        </w:tc>
        <w:tc>
          <w:tcPr>
            <w:tcW w:w="7724" w:type="dxa"/>
            <w:gridSpan w:val="9"/>
            <w:vAlign w:val="center"/>
          </w:tcPr>
          <w:p w14:paraId="04A853B3">
            <w:pPr>
              <w:autoSpaceDE w:val="0"/>
              <w:autoSpaceDN w:val="0"/>
              <w:snapToGrid w:val="0"/>
              <w:rPr>
                <w:rFonts w:ascii="仿宋" w:hAnsi="仿宋" w:eastAsia="仿宋" w:cs="仿宋"/>
                <w:b/>
                <w:bCs/>
                <w:color w:val="auto"/>
                <w:sz w:val="24"/>
              </w:rPr>
            </w:pPr>
          </w:p>
        </w:tc>
      </w:tr>
      <w:tr w14:paraId="754D439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14:paraId="5B6D1404">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备注</w:t>
            </w:r>
          </w:p>
        </w:tc>
        <w:tc>
          <w:tcPr>
            <w:tcW w:w="7724" w:type="dxa"/>
            <w:gridSpan w:val="9"/>
          </w:tcPr>
          <w:p w14:paraId="2260D8C7">
            <w:pPr>
              <w:autoSpaceDE w:val="0"/>
              <w:autoSpaceDN w:val="0"/>
              <w:snapToGrid w:val="0"/>
              <w:jc w:val="left"/>
              <w:rPr>
                <w:rFonts w:ascii="仿宋" w:hAnsi="仿宋" w:eastAsia="仿宋" w:cs="仿宋"/>
                <w:color w:val="auto"/>
                <w:sz w:val="24"/>
              </w:rPr>
            </w:pPr>
          </w:p>
        </w:tc>
      </w:tr>
    </w:tbl>
    <w:p w14:paraId="74BAEF0D">
      <w:pPr>
        <w:snapToGrid w:val="0"/>
        <w:spacing w:line="360" w:lineRule="auto"/>
        <w:rPr>
          <w:rFonts w:ascii="仿宋" w:hAnsi="仿宋" w:eastAsia="仿宋" w:cs="仿宋"/>
          <w:b/>
          <w:color w:val="auto"/>
          <w:sz w:val="24"/>
        </w:rPr>
      </w:pPr>
    </w:p>
    <w:p w14:paraId="1A1B56B8">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14:paraId="67B6174A">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14:paraId="45A06CEF">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14:paraId="3E218E71">
      <w:pPr>
        <w:outlineLvl w:val="2"/>
        <w:rPr>
          <w:rFonts w:hint="eastAsia" w:ascii="仿宋" w:hAnsi="仿宋" w:eastAsia="仿宋" w:cs="仿宋"/>
          <w:b/>
          <w:bCs/>
          <w:color w:val="auto"/>
          <w:sz w:val="24"/>
          <w:lang w:eastAsia="zh-CN"/>
        </w:rPr>
      </w:pPr>
      <w:bookmarkStart w:id="102" w:name="_Toc32072"/>
      <w:bookmarkStart w:id="103" w:name="_Toc4738"/>
      <w:bookmarkStart w:id="104" w:name="_Toc20691"/>
      <w:bookmarkStart w:id="105" w:name="_Toc959"/>
      <w:bookmarkStart w:id="106" w:name="_Toc29119"/>
      <w:bookmarkStart w:id="107" w:name="_Toc9892"/>
      <w:bookmarkStart w:id="108" w:name="_Toc16554"/>
      <w:bookmarkStart w:id="109" w:name="_Toc12453"/>
      <w:bookmarkStart w:id="110" w:name="_Toc32011"/>
      <w:bookmarkStart w:id="111" w:name="_Toc17041"/>
      <w:bookmarkStart w:id="112" w:name="_Toc24697"/>
      <w:r>
        <w:rPr>
          <w:rStyle w:val="118"/>
          <w:rFonts w:hint="eastAsia" w:ascii="仿宋" w:hAnsi="仿宋" w:cs="仿宋"/>
          <w:b/>
          <w:color w:val="auto"/>
          <w:sz w:val="24"/>
          <w:szCs w:val="24"/>
          <w:highlight w:val="none"/>
        </w:rPr>
        <w:br w:type="page"/>
      </w: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2-7</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首轮报价一览表</w:t>
      </w:r>
    </w:p>
    <w:p w14:paraId="7140FDF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spacing w:val="-2"/>
          <w:sz w:val="36"/>
          <w:szCs w:val="36"/>
          <w:highlight w:val="none"/>
          <w:lang w:eastAsia="zh-CN"/>
        </w:rPr>
        <w:t>首轮报价一览表</w:t>
      </w:r>
    </w:p>
    <w:p w14:paraId="350B4C15">
      <w:pPr>
        <w:keepNext w:val="0"/>
        <w:keepLines w:val="0"/>
        <w:pageBreakBefore w:val="0"/>
        <w:widowControl w:val="0"/>
        <w:kinsoku/>
        <w:wordWrap/>
        <w:overflowPunct/>
        <w:topLinePunct w:val="0"/>
        <w:autoSpaceDE/>
        <w:autoSpaceDN/>
        <w:bidi w:val="0"/>
        <w:adjustRightInd/>
        <w:snapToGrid/>
        <w:spacing w:line="240" w:lineRule="auto"/>
        <w:jc w:val="center"/>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（实质性要求）</w:t>
      </w:r>
    </w:p>
    <w:p w14:paraId="245C36D4">
      <w:pPr>
        <w:spacing w:after="120" w:line="240" w:lineRule="auto"/>
        <w:jc w:val="both"/>
        <w:rPr>
          <w:rFonts w:hint="eastAsia" w:ascii="仿宋" w:hAnsi="仿宋" w:eastAsia="仿宋" w:cs="仿宋"/>
          <w:b w:val="0"/>
          <w:bCs w:val="0"/>
          <w:color w:val="000000" w:themeColor="text1"/>
          <w:sz w:val="21"/>
          <w:szCs w:val="21"/>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14:textFill>
            <w14:solidFill>
              <w14:schemeClr w14:val="tx1"/>
            </w14:solidFill>
          </w14:textFill>
        </w:rPr>
        <w:t>项目编号：</w:t>
      </w:r>
    </w:p>
    <w:p w14:paraId="5EDCF504">
      <w:pPr>
        <w:spacing w:after="120" w:line="240" w:lineRule="auto"/>
        <w:jc w:val="both"/>
        <w:rPr>
          <w:rFonts w:hint="eastAsia" w:ascii="仿宋" w:hAnsi="仿宋" w:eastAsia="仿宋" w:cs="仿宋"/>
          <w:color w:val="000000" w:themeColor="text1"/>
          <w:kern w:val="0"/>
          <w:sz w:val="24"/>
          <w:highlight w:val="none"/>
          <w14:textFill>
            <w14:solidFill>
              <w14:schemeClr w14:val="tx1"/>
            </w14:solidFill>
          </w14:textFill>
        </w:rPr>
      </w:pPr>
      <w:r>
        <w:rPr>
          <w:rFonts w:hint="eastAsia" w:ascii="仿宋" w:hAnsi="仿宋" w:eastAsia="仿宋" w:cs="仿宋"/>
          <w:b w:val="0"/>
          <w:bCs w:val="0"/>
          <w:color w:val="000000" w:themeColor="text1"/>
          <w:sz w:val="21"/>
          <w:szCs w:val="21"/>
          <w:highlight w:val="none"/>
          <w:lang w:val="en-US" w:eastAsia="zh-CN"/>
          <w14:textFill>
            <w14:solidFill>
              <w14:schemeClr w14:val="tx1"/>
            </w14:solidFill>
          </w14:textFill>
        </w:rPr>
        <w:t>项目名称：</w:t>
      </w:r>
    </w:p>
    <w:p w14:paraId="17679B56">
      <w:pPr>
        <w:pStyle w:val="3"/>
        <w:ind w:left="0" w:leftChars="0" w:firstLine="0" w:firstLineChars="0"/>
        <w:rPr>
          <w:rFonts w:hint="eastAsia" w:ascii="仿宋" w:hAnsi="仿宋" w:eastAsia="仿宋" w:cs="仿宋"/>
        </w:rPr>
      </w:pPr>
    </w:p>
    <w:tbl>
      <w:tblPr>
        <w:tblStyle w:val="24"/>
        <w:tblW w:w="9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360"/>
        <w:gridCol w:w="2360"/>
        <w:gridCol w:w="753"/>
        <w:gridCol w:w="847"/>
        <w:gridCol w:w="794"/>
        <w:gridCol w:w="811"/>
        <w:gridCol w:w="1495"/>
      </w:tblGrid>
      <w:tr w14:paraId="0D87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699" w:type="dxa"/>
            <w:gridSpan w:val="3"/>
            <w:tcBorders>
              <w:top w:val="single" w:color="auto" w:sz="4" w:space="0"/>
              <w:left w:val="single" w:color="auto" w:sz="4" w:space="0"/>
              <w:bottom w:val="single" w:color="auto" w:sz="4" w:space="0"/>
              <w:right w:val="single" w:color="auto" w:sz="4" w:space="0"/>
            </w:tcBorders>
            <w:noWrap w:val="0"/>
            <w:vAlign w:val="center"/>
          </w:tcPr>
          <w:p w14:paraId="1081E7B5">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4700" w:type="dxa"/>
            <w:gridSpan w:val="5"/>
            <w:tcBorders>
              <w:top w:val="single" w:color="auto" w:sz="4" w:space="0"/>
              <w:left w:val="single" w:color="auto" w:sz="4" w:space="0"/>
              <w:bottom w:val="single" w:color="auto" w:sz="4" w:space="0"/>
              <w:right w:val="single" w:color="auto" w:sz="4" w:space="0"/>
            </w:tcBorders>
            <w:noWrap w:val="0"/>
            <w:vAlign w:val="center"/>
          </w:tcPr>
          <w:p w14:paraId="627B5520">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14:paraId="7FDE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99" w:type="dxa"/>
            <w:gridSpan w:val="8"/>
            <w:tcBorders>
              <w:top w:val="single" w:color="auto" w:sz="4" w:space="0"/>
              <w:left w:val="single" w:color="auto" w:sz="4" w:space="0"/>
              <w:bottom w:val="single" w:color="auto" w:sz="4" w:space="0"/>
              <w:right w:val="single" w:color="auto" w:sz="4" w:space="0"/>
            </w:tcBorders>
            <w:noWrap w:val="0"/>
            <w:vAlign w:val="center"/>
          </w:tcPr>
          <w:p w14:paraId="7F7E38E5">
            <w:pPr>
              <w:pStyle w:val="116"/>
              <w:spacing w:line="240" w:lineRule="auto"/>
              <w:ind w:firstLine="0" w:firstLineChars="0"/>
              <w:jc w:val="center"/>
              <w:rPr>
                <w:rFonts w:hint="default"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报价轮次：首</w:t>
            </w:r>
            <w:r>
              <w:rPr>
                <w:rFonts w:hint="eastAsia" w:ascii="仿宋" w:hAnsi="仿宋" w:eastAsia="仿宋" w:cs="仿宋"/>
                <w:color w:val="auto"/>
                <w:sz w:val="24"/>
                <w:szCs w:val="24"/>
                <w:u w:val="none"/>
                <w:lang w:val="en-US" w:eastAsia="zh-CN"/>
              </w:rPr>
              <w:t>轮</w:t>
            </w:r>
          </w:p>
        </w:tc>
      </w:tr>
      <w:tr w14:paraId="62EB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14:paraId="3AE43441">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9CAF320">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15B21796">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847" w:type="dxa"/>
            <w:tcBorders>
              <w:top w:val="single" w:color="auto" w:sz="4" w:space="0"/>
              <w:left w:val="single" w:color="auto" w:sz="4" w:space="0"/>
              <w:bottom w:val="single" w:color="auto" w:sz="4" w:space="0"/>
              <w:right w:val="single" w:color="auto" w:sz="4" w:space="0"/>
            </w:tcBorders>
            <w:noWrap w:val="0"/>
            <w:vAlign w:val="center"/>
          </w:tcPr>
          <w:p w14:paraId="40600269">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794" w:type="dxa"/>
            <w:tcBorders>
              <w:top w:val="single" w:color="auto" w:sz="4" w:space="0"/>
              <w:left w:val="single" w:color="auto" w:sz="4" w:space="0"/>
              <w:bottom w:val="single" w:color="auto" w:sz="4" w:space="0"/>
              <w:right w:val="single" w:color="auto" w:sz="4" w:space="0"/>
            </w:tcBorders>
            <w:noWrap w:val="0"/>
            <w:vAlign w:val="center"/>
          </w:tcPr>
          <w:p w14:paraId="5F1A00A9">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811" w:type="dxa"/>
            <w:tcBorders>
              <w:top w:val="single" w:color="auto" w:sz="4" w:space="0"/>
              <w:left w:val="single" w:color="auto" w:sz="4" w:space="0"/>
              <w:bottom w:val="single" w:color="auto" w:sz="4" w:space="0"/>
              <w:right w:val="single" w:color="auto" w:sz="4" w:space="0"/>
            </w:tcBorders>
            <w:noWrap w:val="0"/>
            <w:vAlign w:val="center"/>
          </w:tcPr>
          <w:p w14:paraId="3D83BC71">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495" w:type="dxa"/>
            <w:tcBorders>
              <w:top w:val="single" w:color="auto" w:sz="4" w:space="0"/>
              <w:left w:val="single" w:color="auto" w:sz="4" w:space="0"/>
              <w:bottom w:val="single" w:color="auto" w:sz="4" w:space="0"/>
              <w:right w:val="single" w:color="auto" w:sz="4" w:space="0"/>
            </w:tcBorders>
            <w:noWrap w:val="0"/>
            <w:vAlign w:val="center"/>
          </w:tcPr>
          <w:p w14:paraId="7D906DD2">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381A0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14:paraId="3E8A55E7">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285D9D0B">
            <w:pPr>
              <w:pStyle w:val="116"/>
              <w:widowControl/>
              <w:spacing w:line="240" w:lineRule="auto"/>
              <w:ind w:left="0" w:leftChars="0" w:firstLine="0" w:firstLineChars="0"/>
              <w:jc w:val="center"/>
              <w:rPr>
                <w:rFonts w:hint="eastAsia" w:ascii="仿宋" w:hAnsi="仿宋" w:eastAsia="仿宋" w:cs="仿宋"/>
                <w:color w:val="auto"/>
                <w:sz w:val="24"/>
                <w:szCs w:val="24"/>
              </w:rPr>
            </w:pP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75903E20">
            <w:pPr>
              <w:pStyle w:val="116"/>
              <w:spacing w:line="240" w:lineRule="auto"/>
              <w:ind w:left="0" w:leftChars="0" w:firstLine="0" w:firstLineChars="0"/>
              <w:jc w:val="center"/>
              <w:rPr>
                <w:rFonts w:hint="eastAsia" w:ascii="仿宋" w:hAnsi="仿宋" w:eastAsia="仿宋" w:cs="仿宋"/>
                <w:color w:val="auto"/>
                <w:sz w:val="24"/>
                <w:szCs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717DB7D5">
            <w:pPr>
              <w:pStyle w:val="116"/>
              <w:spacing w:line="240" w:lineRule="auto"/>
              <w:ind w:left="0" w:leftChars="0" w:firstLine="0" w:firstLineChars="0"/>
              <w:jc w:val="center"/>
              <w:rPr>
                <w:rFonts w:hint="eastAsia" w:ascii="仿宋" w:hAnsi="仿宋" w:eastAsia="仿宋" w:cs="仿宋"/>
                <w:color w:val="auto"/>
                <w:sz w:val="24"/>
                <w:szCs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35D618EA">
            <w:pPr>
              <w:pStyle w:val="116"/>
              <w:spacing w:line="240" w:lineRule="auto"/>
              <w:ind w:left="0" w:leftChars="0" w:firstLine="0" w:firstLineChars="0"/>
              <w:jc w:val="center"/>
              <w:rPr>
                <w:rFonts w:hint="eastAsia" w:ascii="仿宋" w:hAnsi="仿宋" w:eastAsia="仿宋" w:cs="仿宋"/>
                <w:color w:val="auto"/>
                <w:sz w:val="24"/>
                <w:szCs w:val="24"/>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2C816D48">
            <w:pPr>
              <w:pStyle w:val="116"/>
              <w:spacing w:line="240" w:lineRule="auto"/>
              <w:ind w:left="0" w:leftChars="0" w:firstLine="0" w:firstLineChars="0"/>
              <w:jc w:val="center"/>
              <w:rPr>
                <w:rFonts w:hint="eastAsia" w:ascii="仿宋" w:hAnsi="仿宋" w:eastAsia="仿宋" w:cs="仿宋"/>
                <w:color w:val="auto"/>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F2A805A">
            <w:pPr>
              <w:pStyle w:val="116"/>
              <w:spacing w:line="240" w:lineRule="auto"/>
              <w:ind w:left="0" w:leftChars="0" w:firstLine="0" w:firstLineChars="0"/>
              <w:jc w:val="center"/>
              <w:rPr>
                <w:rFonts w:hint="eastAsia" w:ascii="仿宋" w:hAnsi="仿宋" w:eastAsia="仿宋" w:cs="仿宋"/>
                <w:color w:val="auto"/>
                <w:sz w:val="24"/>
                <w:szCs w:val="24"/>
              </w:rPr>
            </w:pPr>
          </w:p>
        </w:tc>
      </w:tr>
      <w:tr w14:paraId="7F0EF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979" w:type="dxa"/>
            <w:tcBorders>
              <w:top w:val="single" w:color="auto" w:sz="4" w:space="0"/>
              <w:left w:val="single" w:color="auto" w:sz="4" w:space="0"/>
              <w:bottom w:val="single" w:color="auto" w:sz="4" w:space="0"/>
              <w:right w:val="single" w:color="auto" w:sz="4" w:space="0"/>
            </w:tcBorders>
            <w:noWrap w:val="0"/>
            <w:vAlign w:val="center"/>
          </w:tcPr>
          <w:p w14:paraId="27A4A8B6">
            <w:pPr>
              <w:pStyle w:val="116"/>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AE09F88">
            <w:pPr>
              <w:pStyle w:val="116"/>
              <w:spacing w:line="240" w:lineRule="auto"/>
              <w:ind w:left="0" w:leftChars="0" w:firstLine="0" w:firstLineChars="0"/>
              <w:jc w:val="center"/>
              <w:rPr>
                <w:rFonts w:hint="eastAsia" w:ascii="仿宋" w:hAnsi="仿宋" w:eastAsia="仿宋" w:cs="仿宋"/>
                <w:color w:val="auto"/>
                <w:sz w:val="24"/>
                <w:szCs w:val="24"/>
              </w:rPr>
            </w:pPr>
          </w:p>
        </w:tc>
        <w:tc>
          <w:tcPr>
            <w:tcW w:w="3113" w:type="dxa"/>
            <w:gridSpan w:val="2"/>
            <w:tcBorders>
              <w:top w:val="single" w:color="auto" w:sz="4" w:space="0"/>
              <w:left w:val="single" w:color="auto" w:sz="4" w:space="0"/>
              <w:bottom w:val="single" w:color="auto" w:sz="4" w:space="0"/>
              <w:right w:val="single" w:color="auto" w:sz="4" w:space="0"/>
            </w:tcBorders>
            <w:noWrap w:val="0"/>
            <w:vAlign w:val="center"/>
          </w:tcPr>
          <w:p w14:paraId="312C0DBA">
            <w:pPr>
              <w:pStyle w:val="116"/>
              <w:spacing w:line="240" w:lineRule="auto"/>
              <w:ind w:left="0" w:leftChars="0" w:firstLine="0" w:firstLineChars="0"/>
              <w:jc w:val="center"/>
              <w:rPr>
                <w:rFonts w:hint="eastAsia" w:ascii="仿宋" w:hAnsi="仿宋" w:eastAsia="仿宋" w:cs="仿宋"/>
                <w:color w:val="auto"/>
                <w:sz w:val="24"/>
                <w:szCs w:val="24"/>
              </w:rPr>
            </w:pPr>
          </w:p>
        </w:tc>
        <w:tc>
          <w:tcPr>
            <w:tcW w:w="847" w:type="dxa"/>
            <w:tcBorders>
              <w:top w:val="single" w:color="auto" w:sz="4" w:space="0"/>
              <w:left w:val="single" w:color="auto" w:sz="4" w:space="0"/>
              <w:bottom w:val="single" w:color="auto" w:sz="4" w:space="0"/>
              <w:right w:val="single" w:color="auto" w:sz="4" w:space="0"/>
            </w:tcBorders>
            <w:noWrap w:val="0"/>
            <w:vAlign w:val="center"/>
          </w:tcPr>
          <w:p w14:paraId="1B57332C">
            <w:pPr>
              <w:pStyle w:val="116"/>
              <w:spacing w:line="240" w:lineRule="auto"/>
              <w:ind w:left="0" w:leftChars="0" w:firstLine="0" w:firstLineChars="0"/>
              <w:jc w:val="center"/>
              <w:rPr>
                <w:rFonts w:hint="eastAsia" w:ascii="仿宋" w:hAnsi="仿宋" w:eastAsia="仿宋" w:cs="仿宋"/>
                <w:color w:val="auto"/>
                <w:sz w:val="24"/>
                <w:szCs w:val="24"/>
              </w:rPr>
            </w:pPr>
          </w:p>
        </w:tc>
        <w:tc>
          <w:tcPr>
            <w:tcW w:w="794" w:type="dxa"/>
            <w:tcBorders>
              <w:top w:val="single" w:color="auto" w:sz="4" w:space="0"/>
              <w:left w:val="single" w:color="auto" w:sz="4" w:space="0"/>
              <w:bottom w:val="single" w:color="auto" w:sz="4" w:space="0"/>
              <w:right w:val="single" w:color="auto" w:sz="4" w:space="0"/>
            </w:tcBorders>
            <w:noWrap w:val="0"/>
            <w:vAlign w:val="center"/>
          </w:tcPr>
          <w:p w14:paraId="4211941E">
            <w:pPr>
              <w:pStyle w:val="116"/>
              <w:spacing w:line="240" w:lineRule="auto"/>
              <w:ind w:left="0" w:leftChars="0" w:firstLine="0" w:firstLineChars="0"/>
              <w:jc w:val="center"/>
              <w:rPr>
                <w:rFonts w:hint="eastAsia" w:ascii="仿宋" w:hAnsi="仿宋" w:eastAsia="仿宋" w:cs="仿宋"/>
                <w:color w:val="auto"/>
                <w:sz w:val="24"/>
                <w:szCs w:val="24"/>
              </w:rPr>
            </w:pPr>
          </w:p>
        </w:tc>
        <w:tc>
          <w:tcPr>
            <w:tcW w:w="811" w:type="dxa"/>
            <w:tcBorders>
              <w:top w:val="single" w:color="auto" w:sz="4" w:space="0"/>
              <w:left w:val="single" w:color="auto" w:sz="4" w:space="0"/>
              <w:bottom w:val="single" w:color="auto" w:sz="4" w:space="0"/>
              <w:right w:val="single" w:color="auto" w:sz="4" w:space="0"/>
            </w:tcBorders>
            <w:noWrap w:val="0"/>
            <w:vAlign w:val="center"/>
          </w:tcPr>
          <w:p w14:paraId="00096545">
            <w:pPr>
              <w:pStyle w:val="116"/>
              <w:spacing w:line="240" w:lineRule="auto"/>
              <w:ind w:left="0" w:leftChars="0" w:firstLine="0" w:firstLineChars="0"/>
              <w:jc w:val="center"/>
              <w:rPr>
                <w:rFonts w:hint="eastAsia" w:ascii="仿宋" w:hAnsi="仿宋" w:eastAsia="仿宋" w:cs="仿宋"/>
                <w:color w:val="auto"/>
                <w:sz w:val="24"/>
                <w:szCs w:val="24"/>
              </w:rPr>
            </w:pPr>
          </w:p>
        </w:tc>
        <w:tc>
          <w:tcPr>
            <w:tcW w:w="1495" w:type="dxa"/>
            <w:tcBorders>
              <w:top w:val="single" w:color="auto" w:sz="4" w:space="0"/>
              <w:left w:val="single" w:color="auto" w:sz="4" w:space="0"/>
              <w:bottom w:val="single" w:color="auto" w:sz="4" w:space="0"/>
              <w:right w:val="single" w:color="auto" w:sz="4" w:space="0"/>
            </w:tcBorders>
            <w:noWrap w:val="0"/>
            <w:vAlign w:val="center"/>
          </w:tcPr>
          <w:p w14:paraId="5AAF23EB">
            <w:pPr>
              <w:pStyle w:val="116"/>
              <w:spacing w:line="240" w:lineRule="auto"/>
              <w:ind w:left="0" w:leftChars="0" w:firstLine="0" w:firstLineChars="0"/>
              <w:jc w:val="center"/>
              <w:rPr>
                <w:rFonts w:hint="eastAsia" w:ascii="仿宋" w:hAnsi="仿宋" w:eastAsia="仿宋" w:cs="仿宋"/>
                <w:color w:val="auto"/>
                <w:sz w:val="24"/>
                <w:szCs w:val="24"/>
              </w:rPr>
            </w:pPr>
          </w:p>
        </w:tc>
      </w:tr>
      <w:tr w14:paraId="2755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99" w:type="dxa"/>
            <w:gridSpan w:val="8"/>
            <w:tcBorders>
              <w:top w:val="single" w:color="auto" w:sz="4" w:space="0"/>
              <w:left w:val="single" w:color="auto" w:sz="4" w:space="0"/>
              <w:bottom w:val="single" w:color="auto" w:sz="4" w:space="0"/>
              <w:right w:val="single" w:color="auto" w:sz="4" w:space="0"/>
            </w:tcBorders>
            <w:noWrap w:val="0"/>
            <w:vAlign w:val="center"/>
          </w:tcPr>
          <w:p w14:paraId="3A5CB611">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14:paraId="1CD6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99" w:type="dxa"/>
            <w:gridSpan w:val="8"/>
            <w:tcBorders>
              <w:top w:val="single" w:color="auto" w:sz="4" w:space="0"/>
              <w:left w:val="single" w:color="auto" w:sz="4" w:space="0"/>
              <w:bottom w:val="single" w:color="auto" w:sz="4" w:space="0"/>
              <w:right w:val="single" w:color="auto" w:sz="4" w:space="0"/>
            </w:tcBorders>
            <w:noWrap w:val="0"/>
            <w:vAlign w:val="center"/>
          </w:tcPr>
          <w:p w14:paraId="4FF83BA7">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14:paraId="3A5DADE6">
      <w:pPr>
        <w:spacing w:line="360" w:lineRule="auto"/>
        <w:ind w:firstLine="0" w:firstLineChars="0"/>
        <w:rPr>
          <w:rFonts w:hint="eastAsia" w:ascii="仿宋" w:hAnsi="仿宋" w:eastAsia="仿宋" w:cs="仿宋"/>
          <w:color w:val="auto"/>
          <w:sz w:val="24"/>
        </w:rPr>
      </w:pPr>
    </w:p>
    <w:p w14:paraId="4C71AAC4">
      <w:pPr>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14:paraId="71457484">
      <w:pPr>
        <w:spacing w:line="360" w:lineRule="auto"/>
        <w:ind w:firstLine="480" w:firstLineChars="200"/>
        <w:rPr>
          <w:rFonts w:hint="eastAsia" w:ascii="仿宋" w:hAnsi="仿宋" w:eastAsia="仿宋" w:cs="仿宋"/>
          <w:bCs/>
          <w:color w:val="auto"/>
        </w:rPr>
      </w:pPr>
      <w:r>
        <w:rPr>
          <w:rFonts w:hint="eastAsia" w:ascii="仿宋" w:hAnsi="仿宋" w:eastAsia="仿宋" w:cs="仿宋"/>
          <w:b w:val="0"/>
          <w:bCs/>
          <w:color w:val="auto"/>
          <w:sz w:val="24"/>
        </w:rPr>
        <w:t>2.特别注意：</w:t>
      </w:r>
      <w:r>
        <w:rPr>
          <w:rFonts w:hint="eastAsia" w:ascii="仿宋" w:hAnsi="仿宋" w:eastAsia="仿宋" w:cs="仿宋"/>
          <w:b w:val="0"/>
          <w:bCs/>
          <w:color w:val="auto"/>
          <w:sz w:val="24"/>
          <w:lang w:eastAsia="zh-CN"/>
        </w:rPr>
        <w:t>本表</w:t>
      </w:r>
      <w:r>
        <w:rPr>
          <w:rFonts w:hint="eastAsia" w:ascii="仿宋" w:hAnsi="仿宋" w:eastAsia="仿宋" w:cs="仿宋"/>
          <w:b w:val="0"/>
          <w:bCs/>
          <w:color w:val="auto"/>
          <w:sz w:val="24"/>
        </w:rPr>
        <w:t>需</w:t>
      </w:r>
      <w:r>
        <w:rPr>
          <w:rFonts w:hint="eastAsia" w:ascii="仿宋" w:hAnsi="仿宋" w:eastAsia="仿宋" w:cs="仿宋"/>
          <w:b w:val="0"/>
          <w:bCs/>
          <w:color w:val="auto"/>
          <w:sz w:val="24"/>
          <w:lang w:eastAsia="zh-CN"/>
        </w:rPr>
        <w:t>填写完整并</w:t>
      </w:r>
      <w:r>
        <w:rPr>
          <w:rFonts w:hint="eastAsia" w:ascii="仿宋" w:hAnsi="仿宋" w:eastAsia="仿宋" w:cs="仿宋"/>
          <w:b w:val="0"/>
          <w:bCs/>
          <w:color w:val="auto"/>
          <w:sz w:val="24"/>
        </w:rPr>
        <w:t>装订入其他响应文件中。</w:t>
      </w:r>
    </w:p>
    <w:p w14:paraId="63680E84">
      <w:pPr>
        <w:spacing w:line="360" w:lineRule="auto"/>
        <w:ind w:firstLine="0" w:firstLineChars="0"/>
        <w:rPr>
          <w:rFonts w:hint="eastAsia" w:ascii="仿宋" w:hAnsi="仿宋" w:eastAsia="仿宋" w:cs="仿宋"/>
          <w:color w:val="auto"/>
          <w:sz w:val="24"/>
        </w:rPr>
      </w:pPr>
    </w:p>
    <w:p w14:paraId="77A066E4">
      <w:pPr>
        <w:snapToGrid w:val="0"/>
        <w:spacing w:line="360" w:lineRule="auto"/>
        <w:ind w:firstLine="480" w:firstLineChars="200"/>
        <w:jc w:val="left"/>
        <w:rPr>
          <w:rFonts w:hint="eastAsia" w:ascii="仿宋" w:hAnsi="仿宋" w:eastAsia="仿宋" w:cs="仿宋"/>
          <w:bCs/>
          <w:color w:val="auto"/>
          <w:sz w:val="24"/>
        </w:rPr>
      </w:pPr>
    </w:p>
    <w:p w14:paraId="31A9F324">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14:paraId="2DE976D8">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14:paraId="2BACFD94">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bookmarkStart w:id="113" w:name="_Toc4463"/>
      <w:bookmarkStart w:id="114" w:name="_Toc21989"/>
    </w:p>
    <w:p w14:paraId="77971DB0">
      <w:pPr>
        <w:rPr>
          <w:rFonts w:hint="eastAsia" w:ascii="仿宋" w:hAnsi="仿宋" w:eastAsia="仿宋" w:cs="仿宋"/>
          <w:b/>
          <w:bCs/>
          <w:color w:val="auto"/>
          <w:sz w:val="24"/>
        </w:rPr>
      </w:pPr>
      <w:r>
        <w:rPr>
          <w:rFonts w:hint="eastAsia" w:ascii="仿宋" w:hAnsi="仿宋" w:eastAsia="仿宋" w:cs="仿宋"/>
          <w:b/>
          <w:bCs/>
          <w:color w:val="auto"/>
          <w:sz w:val="24"/>
        </w:rPr>
        <w:br w:type="page"/>
      </w:r>
    </w:p>
    <w:p w14:paraId="0FF8389F">
      <w:pPr>
        <w:snapToGrid w:val="0"/>
        <w:spacing w:line="360" w:lineRule="auto"/>
        <w:jc w:val="left"/>
        <w:outlineLvl w:val="2"/>
        <w:rPr>
          <w:rFonts w:hint="eastAsia" w:ascii="仿宋" w:hAnsi="仿宋" w:eastAsia="仿宋" w:cs="仿宋"/>
          <w:b/>
          <w:bCs/>
          <w:color w:val="auto"/>
          <w:sz w:val="36"/>
          <w:szCs w:val="36"/>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2-8</w:t>
      </w:r>
      <w:r>
        <w:rPr>
          <w:rFonts w:hint="eastAsia" w:ascii="仿宋" w:hAnsi="仿宋" w:eastAsia="仿宋" w:cs="仿宋"/>
          <w:b/>
          <w:bCs/>
          <w:color w:val="auto"/>
          <w:sz w:val="24"/>
        </w:rPr>
        <w:t>:承诺函</w:t>
      </w:r>
      <w:bookmarkEnd w:id="113"/>
      <w:bookmarkEnd w:id="114"/>
      <w:bookmarkStart w:id="115" w:name="_Toc6183_WPSOffice_Level2"/>
    </w:p>
    <w:p w14:paraId="1A378D3C">
      <w:pPr>
        <w:pStyle w:val="16"/>
        <w:snapToGrid w:val="0"/>
        <w:spacing w:before="240" w:beforeLines="100" w:after="20" w:line="360" w:lineRule="auto"/>
        <w:ind w:left="0" w:leftChars="0" w:firstLine="181" w:firstLineChars="50"/>
        <w:jc w:val="center"/>
        <w:rPr>
          <w:rFonts w:hint="eastAsia" w:ascii="仿宋" w:hAnsi="仿宋" w:eastAsia="仿宋" w:cs="仿宋"/>
          <w:b/>
          <w:bCs/>
          <w:color w:val="auto"/>
          <w:sz w:val="36"/>
          <w:szCs w:val="36"/>
        </w:rPr>
      </w:pPr>
      <w:bookmarkStart w:id="116" w:name="_Toc31555"/>
      <w:bookmarkStart w:id="117" w:name="_Toc9407"/>
      <w:r>
        <w:rPr>
          <w:rFonts w:hint="eastAsia" w:ascii="仿宋" w:hAnsi="仿宋" w:eastAsia="仿宋" w:cs="仿宋"/>
          <w:b/>
          <w:bCs/>
          <w:color w:val="auto"/>
          <w:sz w:val="36"/>
          <w:szCs w:val="36"/>
        </w:rPr>
        <w:t>承诺函</w:t>
      </w:r>
      <w:bookmarkEnd w:id="115"/>
      <w:bookmarkEnd w:id="116"/>
      <w:bookmarkEnd w:id="117"/>
    </w:p>
    <w:p w14:paraId="681B76D6">
      <w:pPr>
        <w:widowControl/>
        <w:spacing w:line="360" w:lineRule="auto"/>
        <w:jc w:val="center"/>
        <w:rPr>
          <w:rFonts w:hint="eastAsia" w:ascii="仿宋" w:hAnsi="仿宋" w:eastAsia="仿宋" w:cs="仿宋"/>
          <w:bCs/>
          <w:color w:val="auto"/>
          <w:sz w:val="24"/>
        </w:rPr>
      </w:pPr>
      <w:r>
        <w:rPr>
          <w:rFonts w:hint="eastAsia" w:ascii="仿宋" w:hAnsi="仿宋" w:eastAsia="仿宋" w:cs="仿宋"/>
          <w:color w:val="auto"/>
          <w:sz w:val="24"/>
          <w:szCs w:val="24"/>
          <w:highlight w:val="none"/>
        </w:rPr>
        <w:t>（实质性要求）</w:t>
      </w:r>
    </w:p>
    <w:p w14:paraId="2754A9D9">
      <w:pPr>
        <w:widowControl/>
        <w:spacing w:line="360" w:lineRule="auto"/>
        <w:jc w:val="left"/>
        <w:rPr>
          <w:rFonts w:hint="eastAsia" w:ascii="仿宋" w:hAnsi="仿宋" w:eastAsia="仿宋" w:cs="仿宋"/>
          <w:color w:val="auto"/>
          <w:lang w:val="zh-CN"/>
        </w:rPr>
      </w:pPr>
      <w:r>
        <w:rPr>
          <w:rFonts w:hint="eastAsia" w:ascii="仿宋" w:hAnsi="仿宋" w:eastAsia="仿宋" w:cs="仿宋"/>
          <w:color w:val="auto"/>
          <w:sz w:val="24"/>
          <w:u w:val="single"/>
          <w:lang w:val="zh-CN"/>
        </w:rPr>
        <w:t>XXXXXXXX</w:t>
      </w:r>
      <w:r>
        <w:rPr>
          <w:rFonts w:hint="eastAsia" w:ascii="仿宋" w:hAnsi="仿宋" w:eastAsia="仿宋" w:cs="仿宋"/>
          <w:color w:val="auto"/>
          <w:sz w:val="24"/>
          <w:lang w:val="zh-CN"/>
        </w:rPr>
        <w:t>（采购人名称）：</w:t>
      </w:r>
    </w:p>
    <w:p w14:paraId="7D0549E0">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我公司作为本次采购项目的供应商，根据采购文件要求，现郑重承诺如下：</w:t>
      </w:r>
    </w:p>
    <w:p w14:paraId="2C85B5E1">
      <w:pPr>
        <w:pStyle w:val="16"/>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Cs/>
          <w:color w:val="auto"/>
          <w:sz w:val="24"/>
          <w:lang w:eastAsia="zh-CN"/>
        </w:rPr>
        <w:t>我方</w:t>
      </w:r>
      <w:r>
        <w:rPr>
          <w:rFonts w:hint="eastAsia" w:ascii="仿宋" w:hAnsi="仿宋" w:eastAsia="仿宋" w:cs="仿宋"/>
          <w:color w:val="auto"/>
          <w:sz w:val="24"/>
          <w:lang w:val="zh-CN"/>
        </w:rPr>
        <w:t>响应文件中提供的任何材料资料和技术、服务、商务等响应承诺情况都是真实的、有效的、合法的</w:t>
      </w:r>
      <w:r>
        <w:rPr>
          <w:rFonts w:hint="eastAsia" w:ascii="仿宋" w:hAnsi="仿宋" w:eastAsia="仿宋" w:cs="仿宋"/>
          <w:bCs/>
          <w:color w:val="auto"/>
          <w:sz w:val="24"/>
        </w:rPr>
        <w:t>。</w:t>
      </w:r>
    </w:p>
    <w:p w14:paraId="61A853A0">
      <w:pPr>
        <w:pStyle w:val="16"/>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二、</w:t>
      </w:r>
      <w:r>
        <w:rPr>
          <w:rFonts w:hint="eastAsia" w:ascii="仿宋" w:hAnsi="仿宋" w:eastAsia="仿宋" w:cs="仿宋"/>
          <w:bCs/>
          <w:color w:val="auto"/>
          <w:sz w:val="24"/>
        </w:rPr>
        <w:t>我方愿意提交贵单位可能另外要求的，与</w:t>
      </w:r>
      <w:r>
        <w:rPr>
          <w:rFonts w:hint="eastAsia" w:ascii="仿宋" w:hAnsi="仿宋" w:eastAsia="仿宋" w:cs="仿宋"/>
          <w:bCs/>
          <w:color w:val="auto"/>
          <w:sz w:val="24"/>
          <w:lang w:eastAsia="zh-CN"/>
        </w:rPr>
        <w:t>报价</w:t>
      </w:r>
      <w:r>
        <w:rPr>
          <w:rFonts w:hint="eastAsia" w:ascii="仿宋" w:hAnsi="仿宋" w:eastAsia="仿宋" w:cs="仿宋"/>
          <w:bCs/>
          <w:color w:val="auto"/>
          <w:sz w:val="24"/>
        </w:rPr>
        <w:t>有关的文件资料，并保证我方已提供和将要提供的文件资料是真实、准确的。</w:t>
      </w:r>
    </w:p>
    <w:p w14:paraId="2089BB92">
      <w:pPr>
        <w:pStyle w:val="16"/>
        <w:snapToGrid w:val="0"/>
        <w:spacing w:after="0" w:line="360" w:lineRule="auto"/>
        <w:ind w:left="0" w:leftChars="0"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三</w:t>
      </w:r>
      <w:r>
        <w:rPr>
          <w:rFonts w:hint="eastAsia" w:ascii="仿宋" w:hAnsi="仿宋" w:eastAsia="仿宋" w:cs="仿宋"/>
          <w:bCs/>
          <w:color w:val="auto"/>
          <w:sz w:val="24"/>
        </w:rPr>
        <w:t>、我方完全同意采购文件全部的实质性要求，并严格按照采购文件要求履行。</w:t>
      </w:r>
    </w:p>
    <w:p w14:paraId="55206374">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bCs/>
          <w:color w:val="auto"/>
          <w:sz w:val="24"/>
          <w:lang w:eastAsia="zh-CN"/>
        </w:rPr>
        <w:t>四</w:t>
      </w:r>
      <w:r>
        <w:rPr>
          <w:rFonts w:hint="eastAsia" w:ascii="仿宋" w:hAnsi="仿宋" w:eastAsia="仿宋" w:cs="仿宋"/>
          <w:bCs/>
          <w:color w:val="auto"/>
          <w:sz w:val="24"/>
        </w:rPr>
        <w:t>、</w:t>
      </w:r>
      <w:r>
        <w:rPr>
          <w:rFonts w:hint="eastAsia" w:ascii="仿宋" w:hAnsi="仿宋" w:eastAsia="仿宋" w:cs="仿宋"/>
          <w:color w:val="auto"/>
          <w:sz w:val="24"/>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6F4E363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五</w:t>
      </w:r>
      <w:r>
        <w:rPr>
          <w:rFonts w:hint="eastAsia" w:ascii="仿宋" w:hAnsi="仿宋" w:eastAsia="仿宋" w:cs="仿宋"/>
          <w:color w:val="auto"/>
          <w:sz w:val="24"/>
        </w:rPr>
        <w:t>、国家或行业主管部门对供应商和采购产品的技术标准、质量标准和资格资质条件等有强制性规定的，我方承诺符合其要求。</w:t>
      </w:r>
    </w:p>
    <w:p w14:paraId="627D58A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六</w:t>
      </w:r>
      <w:r>
        <w:rPr>
          <w:rFonts w:hint="eastAsia" w:ascii="仿宋" w:hAnsi="仿宋" w:eastAsia="仿宋" w:cs="仿宋"/>
          <w:color w:val="auto"/>
          <w:sz w:val="24"/>
        </w:rPr>
        <w:t>、在评审中，当采购人代表、采购代理机构或评审小组需要我方及时对响应文件内容进行澄清答疑或需要我方派授权代表参加</w:t>
      </w:r>
      <w:r>
        <w:rPr>
          <w:rFonts w:hint="eastAsia" w:ascii="仿宋" w:hAnsi="仿宋" w:eastAsia="仿宋" w:cs="仿宋"/>
          <w:color w:val="auto"/>
          <w:sz w:val="24"/>
          <w:lang w:eastAsia="zh-CN"/>
        </w:rPr>
        <w:t>谈判</w:t>
      </w:r>
      <w:r>
        <w:rPr>
          <w:rFonts w:hint="eastAsia" w:ascii="仿宋" w:hAnsi="仿宋" w:eastAsia="仿宋" w:cs="仿宋"/>
          <w:color w:val="auto"/>
          <w:sz w:val="24"/>
        </w:rPr>
        <w:t>时，若因我方原因未及时到场（未按采购人、采购代理机构、评审小组要求到场）澄清答疑、或</w:t>
      </w:r>
      <w:r>
        <w:rPr>
          <w:rFonts w:hint="eastAsia" w:ascii="仿宋" w:hAnsi="仿宋" w:eastAsia="仿宋" w:cs="仿宋"/>
          <w:color w:val="auto"/>
          <w:sz w:val="24"/>
          <w:lang w:eastAsia="zh-CN"/>
        </w:rPr>
        <w:t>谈判</w:t>
      </w:r>
      <w:r>
        <w:rPr>
          <w:rFonts w:hint="eastAsia" w:ascii="仿宋" w:hAnsi="仿宋" w:eastAsia="仿宋" w:cs="仿宋"/>
          <w:color w:val="auto"/>
          <w:sz w:val="24"/>
        </w:rPr>
        <w:t>的，我方自愿接受评审小组做出的不利于我方的评审结果，绝不反悔。</w:t>
      </w:r>
    </w:p>
    <w:p w14:paraId="3F66038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七</w:t>
      </w:r>
      <w:r>
        <w:rPr>
          <w:rFonts w:hint="eastAsia" w:ascii="仿宋" w:hAnsi="仿宋" w:eastAsia="仿宋" w:cs="仿宋"/>
          <w:color w:val="auto"/>
          <w:sz w:val="24"/>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color w:val="auto"/>
          <w:sz w:val="24"/>
          <w:lang w:eastAsia="zh-CN"/>
        </w:rPr>
        <w:t>谈判</w:t>
      </w:r>
      <w:r>
        <w:rPr>
          <w:rFonts w:hint="eastAsia" w:ascii="仿宋" w:hAnsi="仿宋" w:eastAsia="仿宋" w:cs="仿宋"/>
          <w:color w:val="auto"/>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706BB8A4">
      <w:pPr>
        <w:widowControl/>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color w:val="auto"/>
          <w:sz w:val="24"/>
          <w:lang w:val="zh-CN"/>
        </w:rPr>
        <w:t>八、</w:t>
      </w:r>
      <w:r>
        <w:rPr>
          <w:rFonts w:hint="eastAsia" w:ascii="仿宋" w:hAnsi="仿宋" w:eastAsia="仿宋" w:cs="仿宋"/>
          <w:bCs/>
          <w:color w:val="auto"/>
          <w:sz w:val="24"/>
        </w:rPr>
        <w:t>我方承诺在响应有效期_____天内不</w:t>
      </w:r>
      <w:r>
        <w:rPr>
          <w:rFonts w:hint="eastAsia" w:ascii="仿宋" w:hAnsi="仿宋" w:eastAsia="仿宋" w:cs="仿宋"/>
          <w:bCs/>
          <w:color w:val="auto"/>
          <w:sz w:val="24"/>
          <w:lang w:eastAsia="zh-CN"/>
        </w:rPr>
        <w:t>撤销</w:t>
      </w:r>
      <w:r>
        <w:rPr>
          <w:rFonts w:hint="eastAsia" w:ascii="仿宋" w:hAnsi="仿宋" w:eastAsia="仿宋" w:cs="仿宋"/>
          <w:bCs/>
          <w:color w:val="auto"/>
          <w:sz w:val="24"/>
        </w:rPr>
        <w:t>响应文件</w:t>
      </w:r>
    </w:p>
    <w:p w14:paraId="59F43BC4">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九、如果我公司成交：</w:t>
      </w:r>
    </w:p>
    <w:p w14:paraId="53C8FD11">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val="zh-CN" w:eastAsia="zh-CN"/>
        </w:rPr>
      </w:pPr>
      <w:r>
        <w:rPr>
          <w:rFonts w:hint="eastAsia" w:ascii="仿宋" w:hAnsi="仿宋" w:eastAsia="仿宋" w:cs="仿宋"/>
          <w:bCs/>
          <w:color w:val="auto"/>
          <w:sz w:val="24"/>
          <w:lang w:val="zh-CN"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zh-CN" w:eastAsia="zh-CN"/>
        </w:rPr>
        <w:t>）我方将严格按本项目采购文件约定的采购代理服务费收取标准、金额等要求如数足额向采购代理机构缴纳采购代理服务费。</w:t>
      </w:r>
    </w:p>
    <w:p w14:paraId="06A9C9D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）我方将严格按照采购文件确定的事项和我方响应文件内容签订合同并全面履行合同规定的责任和义务，保证按合同要求提供项目所列的质量、技术和服务内容。</w:t>
      </w:r>
    </w:p>
    <w:p w14:paraId="2E73813E">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）我方承诺在收到成交通知书后，在规定的期限内与采购人签订合同。</w:t>
      </w:r>
    </w:p>
    <w:p w14:paraId="570AC705">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4</w:t>
      </w:r>
      <w:r>
        <w:rPr>
          <w:rFonts w:hint="eastAsia" w:ascii="仿宋" w:hAnsi="仿宋" w:eastAsia="仿宋" w:cs="仿宋"/>
          <w:bCs/>
          <w:color w:val="auto"/>
          <w:sz w:val="24"/>
          <w:lang w:eastAsia="zh-CN"/>
        </w:rPr>
        <w:t>）</w:t>
      </w:r>
      <w:r>
        <w:rPr>
          <w:rFonts w:hint="eastAsia" w:ascii="仿宋" w:hAnsi="仿宋" w:eastAsia="仿宋" w:cs="仿宋"/>
          <w:bCs/>
          <w:color w:val="auto"/>
          <w:sz w:val="24"/>
          <w:szCs w:val="24"/>
        </w:rPr>
        <w:t>我方承诺按照</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rPr>
        <w:t>文件规定的金额和方式向采购人缴纳履约保证金。</w:t>
      </w:r>
    </w:p>
    <w:p w14:paraId="3EB99DFC">
      <w:pPr>
        <w:widowControl/>
        <w:numPr>
          <w:ilvl w:val="-1"/>
          <w:numId w:val="0"/>
        </w:numPr>
        <w:spacing w:line="360" w:lineRule="auto"/>
        <w:ind w:left="420" w:leftChars="20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lang w:val="zh-CN" w:eastAsia="zh-CN"/>
        </w:rPr>
        <w:t>十、</w:t>
      </w:r>
      <w:r>
        <w:rPr>
          <w:rFonts w:hint="eastAsia" w:ascii="仿宋" w:hAnsi="仿宋" w:eastAsia="仿宋" w:cs="仿宋"/>
          <w:bCs/>
          <w:color w:val="auto"/>
          <w:sz w:val="24"/>
          <w:szCs w:val="24"/>
          <w:u w:val="single"/>
          <w:lang w:eastAsia="zh-CN"/>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（其他补充说明；如果没有，填写“无”）。</w:t>
      </w:r>
    </w:p>
    <w:p w14:paraId="2AE54D3C">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lang w:val="zh-CN"/>
        </w:rPr>
        <w:t>本公司对上述承诺的内容事项真实性负责。如经查实上述承诺的内容事项存在虚假，我公司自行承担以提供虚假材料谋取成交的一切法律责任。</w:t>
      </w:r>
    </w:p>
    <w:p w14:paraId="179A22D6">
      <w:pPr>
        <w:pStyle w:val="2"/>
        <w:spacing w:line="360" w:lineRule="auto"/>
        <w:rPr>
          <w:rFonts w:hint="eastAsia" w:ascii="仿宋" w:hAnsi="仿宋" w:eastAsia="仿宋" w:cs="仿宋"/>
          <w:color w:val="auto"/>
        </w:rPr>
      </w:pPr>
    </w:p>
    <w:p w14:paraId="2C2A3AE6">
      <w:pPr>
        <w:spacing w:line="360" w:lineRule="auto"/>
        <w:ind w:firstLine="480" w:firstLineChars="200"/>
        <w:rPr>
          <w:rFonts w:hint="eastAsia" w:ascii="仿宋" w:hAnsi="仿宋" w:eastAsia="仿宋" w:cs="仿宋"/>
          <w:bCs/>
          <w:color w:val="auto"/>
          <w:sz w:val="24"/>
        </w:rPr>
      </w:pPr>
    </w:p>
    <w:p w14:paraId="371D7CF9">
      <w:pPr>
        <w:spacing w:line="360" w:lineRule="auto"/>
        <w:ind w:firstLine="480" w:firstLineChars="200"/>
        <w:rPr>
          <w:rFonts w:hint="eastAsia" w:ascii="仿宋" w:hAnsi="仿宋" w:eastAsia="仿宋" w:cs="仿宋"/>
          <w:bCs/>
          <w:color w:val="auto"/>
          <w:sz w:val="24"/>
        </w:rPr>
      </w:pPr>
    </w:p>
    <w:p w14:paraId="1B2DAE0B">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14:paraId="38F518EE">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w:t>
      </w:r>
      <w:r>
        <w:rPr>
          <w:rFonts w:hint="eastAsia" w:ascii="仿宋" w:hAnsi="仿宋" w:eastAsia="仿宋" w:cs="仿宋"/>
          <w:color w:val="auto"/>
          <w:sz w:val="24"/>
          <w:lang w:val="zh-CN"/>
        </w:rPr>
        <w:t>或授权代表</w:t>
      </w:r>
      <w:r>
        <w:rPr>
          <w:rFonts w:hint="eastAsia" w:ascii="仿宋" w:hAnsi="仿宋" w:eastAsia="仿宋" w:cs="仿宋"/>
          <w:bCs/>
          <w:color w:val="auto"/>
          <w:sz w:val="24"/>
        </w:rPr>
        <w:t>（签字）：</w:t>
      </w:r>
    </w:p>
    <w:p w14:paraId="5D7082D4">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14:paraId="211DE393">
      <w:pPr>
        <w:rPr>
          <w:rStyle w:val="118"/>
          <w:rFonts w:hint="eastAsia" w:ascii="仿宋" w:hAnsi="仿宋" w:cs="仿宋"/>
          <w:b/>
          <w:color w:val="auto"/>
          <w:sz w:val="24"/>
          <w:szCs w:val="24"/>
          <w:highlight w:val="none"/>
        </w:rPr>
      </w:pPr>
      <w:r>
        <w:rPr>
          <w:rStyle w:val="118"/>
          <w:rFonts w:hint="eastAsia" w:ascii="仿宋" w:hAnsi="仿宋" w:cs="仿宋"/>
          <w:b/>
          <w:color w:val="auto"/>
          <w:sz w:val="24"/>
          <w:szCs w:val="24"/>
          <w:highlight w:val="none"/>
        </w:rPr>
        <w:br w:type="page"/>
      </w:r>
    </w:p>
    <w:bookmarkEnd w:id="102"/>
    <w:bookmarkEnd w:id="103"/>
    <w:bookmarkEnd w:id="104"/>
    <w:bookmarkEnd w:id="105"/>
    <w:bookmarkEnd w:id="106"/>
    <w:bookmarkEnd w:id="107"/>
    <w:bookmarkEnd w:id="108"/>
    <w:bookmarkEnd w:id="109"/>
    <w:bookmarkEnd w:id="110"/>
    <w:bookmarkEnd w:id="111"/>
    <w:bookmarkEnd w:id="112"/>
    <w:p w14:paraId="5A39B7ED">
      <w:pPr>
        <w:numPr>
          <w:ilvl w:val="0"/>
          <w:numId w:val="0"/>
        </w:num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第三部分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报价响应文件</w:t>
      </w:r>
      <w:r>
        <w:rPr>
          <w:rFonts w:hint="eastAsia" w:ascii="仿宋" w:hAnsi="仿宋" w:eastAsia="仿宋" w:cs="仿宋"/>
          <w:b/>
          <w:bCs/>
          <w:color w:val="auto"/>
          <w:sz w:val="30"/>
          <w:szCs w:val="30"/>
        </w:rPr>
        <w:t>”格式</w:t>
      </w:r>
    </w:p>
    <w:p w14:paraId="5E015A2D">
      <w:pPr>
        <w:pStyle w:val="2"/>
        <w:numPr>
          <w:ilvl w:val="0"/>
          <w:numId w:val="0"/>
        </w:numPr>
        <w:rPr>
          <w:rFonts w:hint="eastAsia" w:ascii="仿宋" w:hAnsi="仿宋" w:eastAsia="仿宋" w:cs="仿宋"/>
          <w:color w:val="auto"/>
        </w:rPr>
      </w:pPr>
    </w:p>
    <w:p w14:paraId="1766EA4E">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格式</w:t>
      </w:r>
      <w:r>
        <w:rPr>
          <w:rFonts w:hint="eastAsia" w:ascii="仿宋" w:hAnsi="仿宋" w:eastAsia="仿宋" w:cs="仿宋"/>
          <w:b/>
          <w:bCs/>
          <w:color w:val="auto"/>
          <w:kern w:val="0"/>
          <w:sz w:val="24"/>
          <w:szCs w:val="24"/>
          <w:lang w:val="en-US" w:eastAsia="zh-CN"/>
        </w:rPr>
        <w:t>3-1</w:t>
      </w:r>
      <w:r>
        <w:rPr>
          <w:rFonts w:hint="eastAsia" w:ascii="仿宋" w:hAnsi="仿宋" w:eastAsia="仿宋" w:cs="仿宋"/>
          <w:b/>
          <w:bCs/>
          <w:color w:val="auto"/>
          <w:sz w:val="24"/>
        </w:rPr>
        <w:t>:</w:t>
      </w:r>
      <w:r>
        <w:rPr>
          <w:rFonts w:hint="eastAsia" w:ascii="仿宋" w:hAnsi="仿宋" w:eastAsia="仿宋" w:cs="仿宋"/>
          <w:b/>
          <w:bCs/>
          <w:color w:val="auto"/>
          <w:sz w:val="24"/>
          <w:szCs w:val="24"/>
          <w:lang w:eastAsia="zh-CN"/>
        </w:rPr>
        <w:t>报价响应文件</w:t>
      </w:r>
      <w:r>
        <w:rPr>
          <w:rFonts w:hint="eastAsia" w:ascii="仿宋" w:hAnsi="仿宋" w:eastAsia="仿宋" w:cs="仿宋"/>
          <w:b/>
          <w:bCs/>
          <w:color w:val="auto"/>
          <w:sz w:val="24"/>
          <w:szCs w:val="24"/>
        </w:rPr>
        <w:t>封面</w:t>
      </w:r>
    </w:p>
    <w:p w14:paraId="41817FDB">
      <w:pPr>
        <w:tabs>
          <w:tab w:val="left" w:leader="dot" w:pos="7380"/>
        </w:tabs>
        <w:snapToGrid w:val="0"/>
        <w:spacing w:line="324" w:lineRule="auto"/>
        <w:jc w:val="left"/>
        <w:rPr>
          <w:rFonts w:hint="eastAsia" w:ascii="仿宋" w:hAnsi="仿宋" w:eastAsia="仿宋" w:cs="仿宋"/>
          <w:b/>
          <w:bCs/>
          <w:color w:val="auto"/>
          <w:sz w:val="32"/>
          <w:szCs w:val="32"/>
        </w:rPr>
      </w:pPr>
    </w:p>
    <w:p w14:paraId="24EA3577">
      <w:pPr>
        <w:pStyle w:val="2"/>
        <w:rPr>
          <w:rFonts w:hint="eastAsia" w:ascii="仿宋" w:hAnsi="仿宋" w:eastAsia="仿宋" w:cs="仿宋"/>
        </w:rPr>
      </w:pPr>
    </w:p>
    <w:p w14:paraId="090DE0C6">
      <w:pPr>
        <w:tabs>
          <w:tab w:val="left" w:leader="dot" w:pos="7380"/>
        </w:tabs>
        <w:snapToGrid w:val="0"/>
        <w:spacing w:line="324" w:lineRule="auto"/>
        <w:jc w:val="left"/>
        <w:rPr>
          <w:rFonts w:hint="eastAsia" w:ascii="仿宋" w:hAnsi="仿宋" w:eastAsia="仿宋" w:cs="仿宋"/>
          <w:b/>
          <w:bCs/>
          <w:color w:val="auto"/>
          <w:sz w:val="32"/>
          <w:szCs w:val="32"/>
        </w:rPr>
      </w:pPr>
    </w:p>
    <w:p w14:paraId="43B4ED70">
      <w:pPr>
        <w:tabs>
          <w:tab w:val="left" w:leader="dot" w:pos="7380"/>
        </w:tabs>
        <w:snapToGrid w:val="0"/>
        <w:spacing w:line="324" w:lineRule="auto"/>
        <w:jc w:val="left"/>
        <w:rPr>
          <w:rFonts w:hint="eastAsia" w:ascii="仿宋" w:hAnsi="仿宋" w:eastAsia="仿宋" w:cs="仿宋"/>
          <w:b/>
          <w:bCs/>
          <w:color w:val="auto"/>
          <w:sz w:val="32"/>
          <w:szCs w:val="32"/>
        </w:rPr>
      </w:pPr>
    </w:p>
    <w:p w14:paraId="1B0B2D2B">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报价响应文件</w:t>
      </w:r>
    </w:p>
    <w:p w14:paraId="5B5B1837">
      <w:pPr>
        <w:tabs>
          <w:tab w:val="left" w:leader="dot" w:pos="7380"/>
        </w:tabs>
        <w:snapToGrid w:val="0"/>
        <w:spacing w:line="324" w:lineRule="auto"/>
        <w:jc w:val="center"/>
        <w:rPr>
          <w:rFonts w:hint="eastAsia" w:ascii="仿宋" w:hAnsi="仿宋" w:eastAsia="仿宋" w:cs="仿宋"/>
          <w:b/>
          <w:bCs/>
          <w:color w:val="auto"/>
          <w:sz w:val="32"/>
          <w:szCs w:val="32"/>
        </w:rPr>
      </w:pPr>
    </w:p>
    <w:p w14:paraId="36307205">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14:paraId="503FD1B3">
      <w:pPr>
        <w:tabs>
          <w:tab w:val="left" w:pos="4005"/>
          <w:tab w:val="left" w:leader="dot" w:pos="7380"/>
        </w:tabs>
        <w:snapToGrid w:val="0"/>
        <w:spacing w:line="360" w:lineRule="auto"/>
        <w:rPr>
          <w:rFonts w:hint="eastAsia" w:ascii="仿宋" w:hAnsi="仿宋" w:eastAsia="仿宋" w:cs="仿宋"/>
          <w:b/>
          <w:bCs/>
          <w:color w:val="auto"/>
          <w:sz w:val="32"/>
          <w:szCs w:val="32"/>
        </w:rPr>
      </w:pPr>
    </w:p>
    <w:p w14:paraId="6EA30665">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14:paraId="51242120">
      <w:pPr>
        <w:tabs>
          <w:tab w:val="left" w:leader="dot" w:pos="7380"/>
        </w:tabs>
        <w:snapToGrid w:val="0"/>
        <w:spacing w:line="360" w:lineRule="auto"/>
        <w:jc w:val="left"/>
        <w:rPr>
          <w:rFonts w:hint="eastAsia" w:ascii="仿宋" w:hAnsi="仿宋" w:eastAsia="仿宋" w:cs="仿宋"/>
          <w:b/>
          <w:bCs/>
          <w:color w:val="auto"/>
          <w:sz w:val="32"/>
          <w:szCs w:val="32"/>
        </w:rPr>
      </w:pPr>
    </w:p>
    <w:p w14:paraId="6FC2485B">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14:paraId="021BB108">
      <w:pPr>
        <w:tabs>
          <w:tab w:val="left" w:leader="dot" w:pos="7380"/>
        </w:tabs>
        <w:snapToGrid w:val="0"/>
        <w:spacing w:line="360" w:lineRule="auto"/>
        <w:jc w:val="left"/>
        <w:rPr>
          <w:rFonts w:hint="eastAsia" w:ascii="仿宋" w:hAnsi="仿宋" w:eastAsia="仿宋" w:cs="仿宋"/>
          <w:b/>
          <w:bCs/>
          <w:color w:val="auto"/>
          <w:sz w:val="32"/>
          <w:szCs w:val="32"/>
        </w:rPr>
      </w:pPr>
    </w:p>
    <w:p w14:paraId="09DDD558">
      <w:pPr>
        <w:tabs>
          <w:tab w:val="left" w:leader="dot" w:pos="7380"/>
        </w:tabs>
        <w:snapToGrid w:val="0"/>
        <w:spacing w:line="360" w:lineRule="auto"/>
        <w:jc w:val="left"/>
        <w:rPr>
          <w:rFonts w:hint="eastAsia" w:ascii="仿宋" w:hAnsi="仿宋" w:eastAsia="仿宋" w:cs="仿宋"/>
          <w:b/>
          <w:bCs/>
          <w:color w:val="auto"/>
          <w:sz w:val="32"/>
          <w:szCs w:val="32"/>
        </w:rPr>
      </w:pPr>
    </w:p>
    <w:p w14:paraId="3EF950AA">
      <w:pPr>
        <w:tabs>
          <w:tab w:val="left" w:leader="dot" w:pos="7380"/>
        </w:tabs>
        <w:snapToGrid w:val="0"/>
        <w:spacing w:line="360" w:lineRule="auto"/>
        <w:jc w:val="left"/>
        <w:rPr>
          <w:rFonts w:hint="eastAsia" w:ascii="仿宋" w:hAnsi="仿宋" w:eastAsia="仿宋" w:cs="仿宋"/>
          <w:b/>
          <w:bCs/>
          <w:color w:val="auto"/>
          <w:sz w:val="32"/>
          <w:szCs w:val="32"/>
        </w:rPr>
      </w:pPr>
    </w:p>
    <w:p w14:paraId="71CCE622">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14:paraId="1F533983">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14:paraId="70A48687">
      <w:pPr>
        <w:widowControl/>
        <w:spacing w:line="360" w:lineRule="atLeast"/>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14:paraId="4AD29A3E">
      <w:pPr>
        <w:pStyle w:val="2"/>
        <w:rPr>
          <w:rFonts w:hint="eastAsia" w:ascii="仿宋" w:hAnsi="仿宋" w:eastAsia="仿宋" w:cs="仿宋"/>
          <w:b/>
          <w:bCs/>
          <w:color w:val="auto"/>
          <w:sz w:val="32"/>
          <w:szCs w:val="32"/>
        </w:rPr>
      </w:pPr>
    </w:p>
    <w:p w14:paraId="70F2A4B4">
      <w:pPr>
        <w:widowControl/>
        <w:spacing w:line="360" w:lineRule="atLeast"/>
        <w:jc w:val="both"/>
        <w:rPr>
          <w:rFonts w:hint="eastAsia" w:ascii="仿宋" w:hAnsi="仿宋" w:eastAsia="仿宋" w:cs="仿宋"/>
          <w:b/>
          <w:bCs/>
          <w:color w:val="auto"/>
          <w:sz w:val="32"/>
          <w:szCs w:val="32"/>
        </w:rPr>
      </w:pPr>
    </w:p>
    <w:p w14:paraId="16BBD667">
      <w:pPr>
        <w:pStyle w:val="2"/>
        <w:rPr>
          <w:rFonts w:hint="eastAsia" w:ascii="仿宋" w:hAnsi="仿宋" w:eastAsia="仿宋" w:cs="仿宋"/>
          <w:color w:val="auto"/>
        </w:rPr>
      </w:pPr>
    </w:p>
    <w:p w14:paraId="7BACF743">
      <w:pPr>
        <w:pStyle w:val="9"/>
        <w:rPr>
          <w:rFonts w:hint="eastAsia" w:ascii="仿宋" w:hAnsi="仿宋" w:eastAsia="仿宋" w:cs="仿宋"/>
          <w:color w:val="auto"/>
        </w:rPr>
      </w:pPr>
    </w:p>
    <w:p w14:paraId="5256E811">
      <w:pPr>
        <w:rPr>
          <w:rFonts w:hint="eastAsia" w:ascii="仿宋" w:hAnsi="仿宋" w:eastAsia="仿宋" w:cs="仿宋"/>
          <w:color w:val="auto"/>
        </w:rPr>
      </w:pPr>
    </w:p>
    <w:p w14:paraId="663667E6">
      <w:pPr>
        <w:pStyle w:val="2"/>
        <w:rPr>
          <w:rFonts w:hint="eastAsia" w:ascii="仿宋" w:hAnsi="仿宋" w:eastAsia="仿宋" w:cs="仿宋"/>
          <w:color w:val="auto"/>
        </w:rPr>
      </w:pPr>
    </w:p>
    <w:p w14:paraId="3143E97D">
      <w:pPr>
        <w:pStyle w:val="2"/>
        <w:rPr>
          <w:rFonts w:hint="eastAsia" w:ascii="仿宋" w:hAnsi="仿宋" w:eastAsia="仿宋" w:cs="仿宋"/>
          <w:color w:val="auto"/>
        </w:rPr>
      </w:pPr>
    </w:p>
    <w:p w14:paraId="70C286FC">
      <w:pPr>
        <w:rPr>
          <w:rFonts w:hint="eastAsia" w:ascii="仿宋" w:hAnsi="仿宋" w:eastAsia="仿宋" w:cs="仿宋"/>
          <w:color w:val="auto"/>
        </w:rPr>
      </w:pPr>
    </w:p>
    <w:p w14:paraId="31CECE9F">
      <w:pPr>
        <w:snapToGrid/>
        <w:spacing w:line="240" w:lineRule="auto"/>
        <w:jc w:val="left"/>
        <w:rPr>
          <w:rFonts w:hint="eastAsia" w:ascii="仿宋" w:hAnsi="仿宋" w:eastAsia="仿宋" w:cs="仿宋"/>
          <w:b/>
          <w:bCs/>
          <w:color w:val="auto"/>
          <w:sz w:val="24"/>
          <w:szCs w:val="24"/>
          <w:highlight w:val="none"/>
        </w:rPr>
      </w:pPr>
      <w:bookmarkStart w:id="118" w:name="_Toc14228"/>
      <w:bookmarkStart w:id="119" w:name="_Toc30261"/>
      <w:r>
        <w:rPr>
          <w:rFonts w:hint="eastAsia" w:ascii="仿宋" w:hAnsi="仿宋" w:eastAsia="仿宋" w:cs="仿宋"/>
          <w:b/>
          <w:bCs/>
          <w:color w:val="auto"/>
          <w:sz w:val="24"/>
          <w:szCs w:val="24"/>
          <w:highlight w:val="none"/>
        </w:rPr>
        <w:br w:type="page"/>
      </w:r>
    </w:p>
    <w:p w14:paraId="6965CA27">
      <w:pPr>
        <w:snapToGrid w:val="0"/>
        <w:spacing w:line="360" w:lineRule="auto"/>
        <w:jc w:val="both"/>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3-2</w:t>
      </w:r>
      <w:r>
        <w:rPr>
          <w:rFonts w:hint="eastAsia" w:ascii="仿宋" w:hAnsi="仿宋" w:eastAsia="仿宋" w:cs="仿宋"/>
          <w:b/>
          <w:bCs/>
          <w:color w:val="auto"/>
          <w:sz w:val="24"/>
        </w:rPr>
        <w:t>:</w:t>
      </w:r>
      <w:r>
        <w:rPr>
          <w:rFonts w:hint="eastAsia" w:ascii="仿宋" w:hAnsi="仿宋" w:eastAsia="仿宋" w:cs="仿宋"/>
          <w:b/>
          <w:bCs/>
          <w:color w:val="auto"/>
          <w:sz w:val="24"/>
          <w:lang w:eastAsia="zh-CN"/>
        </w:rPr>
        <w:t>多轮报价一览表</w:t>
      </w:r>
    </w:p>
    <w:p w14:paraId="50222D05">
      <w:pPr>
        <w:snapToGrid w:val="0"/>
        <w:spacing w:line="240" w:lineRule="auto"/>
        <w:jc w:val="center"/>
        <w:rPr>
          <w:rFonts w:hint="eastAsia" w:ascii="仿宋" w:hAnsi="仿宋" w:eastAsia="仿宋" w:cs="仿宋"/>
          <w:b/>
          <w:bCs/>
          <w:color w:val="auto"/>
          <w:spacing w:val="-2"/>
          <w:sz w:val="36"/>
          <w:szCs w:val="36"/>
        </w:rPr>
      </w:pPr>
      <w:r>
        <w:rPr>
          <w:rFonts w:hint="eastAsia" w:ascii="仿宋" w:hAnsi="仿宋" w:eastAsia="仿宋" w:cs="仿宋"/>
          <w:b/>
          <w:bCs/>
          <w:color w:val="auto"/>
          <w:sz w:val="36"/>
          <w:szCs w:val="36"/>
          <w:lang w:eastAsia="zh-CN"/>
        </w:rPr>
        <w:t>多轮报价一览表</w:t>
      </w:r>
    </w:p>
    <w:p w14:paraId="08372EF7">
      <w:pPr>
        <w:widowControl/>
        <w:spacing w:line="24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（实质性要求）</w:t>
      </w:r>
    </w:p>
    <w:p w14:paraId="3BBA89BC">
      <w:pPr>
        <w:spacing w:after="120" w:line="240" w:lineRule="auto"/>
        <w:jc w:val="both"/>
        <w:rPr>
          <w:rFonts w:hint="eastAsia" w:ascii="仿宋" w:hAnsi="仿宋" w:eastAsia="仿宋" w:cs="仿宋"/>
          <w:b w:val="0"/>
          <w:bCs w:val="0"/>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项目编号：</w:t>
      </w:r>
    </w:p>
    <w:p w14:paraId="73065A3C">
      <w:pPr>
        <w:spacing w:after="120" w:line="240" w:lineRule="auto"/>
        <w:jc w:val="both"/>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项目名称：</w:t>
      </w:r>
    </w:p>
    <w:p w14:paraId="4D4E2A92">
      <w:pPr>
        <w:pStyle w:val="2"/>
        <w:rPr>
          <w:rFonts w:hint="eastAsia" w:ascii="仿宋" w:hAnsi="仿宋" w:eastAsia="仿宋" w:cs="仿宋"/>
        </w:rPr>
      </w:pPr>
    </w:p>
    <w:tbl>
      <w:tblPr>
        <w:tblStyle w:val="2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374"/>
        <w:gridCol w:w="2387"/>
        <w:gridCol w:w="759"/>
        <w:gridCol w:w="856"/>
        <w:gridCol w:w="803"/>
        <w:gridCol w:w="818"/>
        <w:gridCol w:w="1514"/>
      </w:tblGrid>
      <w:tr w14:paraId="30C3A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749" w:type="dxa"/>
            <w:gridSpan w:val="3"/>
            <w:tcBorders>
              <w:top w:val="single" w:color="auto" w:sz="4" w:space="0"/>
              <w:left w:val="single" w:color="auto" w:sz="4" w:space="0"/>
              <w:bottom w:val="single" w:color="auto" w:sz="4" w:space="0"/>
              <w:right w:val="single" w:color="auto" w:sz="4" w:space="0"/>
            </w:tcBorders>
            <w:noWrap w:val="0"/>
            <w:vAlign w:val="center"/>
          </w:tcPr>
          <w:p w14:paraId="5E893D4C">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4750" w:type="dxa"/>
            <w:gridSpan w:val="5"/>
            <w:tcBorders>
              <w:top w:val="single" w:color="auto" w:sz="4" w:space="0"/>
              <w:left w:val="single" w:color="auto" w:sz="4" w:space="0"/>
              <w:bottom w:val="single" w:color="auto" w:sz="4" w:space="0"/>
              <w:right w:val="single" w:color="auto" w:sz="4" w:space="0"/>
            </w:tcBorders>
            <w:noWrap w:val="0"/>
            <w:vAlign w:val="center"/>
          </w:tcPr>
          <w:p w14:paraId="7190C5F3">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14:paraId="70DA2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99" w:type="dxa"/>
            <w:gridSpan w:val="8"/>
            <w:tcBorders>
              <w:top w:val="single" w:color="auto" w:sz="4" w:space="0"/>
              <w:left w:val="single" w:color="auto" w:sz="4" w:space="0"/>
              <w:bottom w:val="single" w:color="auto" w:sz="4" w:space="0"/>
              <w:right w:val="single" w:color="auto" w:sz="4" w:space="0"/>
            </w:tcBorders>
            <w:noWrap w:val="0"/>
            <w:vAlign w:val="center"/>
          </w:tcPr>
          <w:p w14:paraId="3B48A9D7">
            <w:pPr>
              <w:pStyle w:val="116"/>
              <w:spacing w:line="240" w:lineRule="auto"/>
              <w:ind w:firstLine="0" w:firstLineChars="0"/>
              <w:jc w:val="center"/>
              <w:rPr>
                <w:rFonts w:hint="default"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报价轮次：第</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轮</w:t>
            </w:r>
          </w:p>
        </w:tc>
      </w:tr>
      <w:tr w14:paraId="3714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63B6AA8">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7AC7A1F">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146" w:type="dxa"/>
            <w:gridSpan w:val="2"/>
            <w:tcBorders>
              <w:top w:val="single" w:color="auto" w:sz="4" w:space="0"/>
              <w:left w:val="single" w:color="auto" w:sz="4" w:space="0"/>
              <w:bottom w:val="single" w:color="auto" w:sz="4" w:space="0"/>
              <w:right w:val="single" w:color="auto" w:sz="4" w:space="0"/>
            </w:tcBorders>
            <w:noWrap w:val="0"/>
            <w:vAlign w:val="center"/>
          </w:tcPr>
          <w:p w14:paraId="0C6073D5">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856" w:type="dxa"/>
            <w:tcBorders>
              <w:top w:val="single" w:color="auto" w:sz="4" w:space="0"/>
              <w:left w:val="single" w:color="auto" w:sz="4" w:space="0"/>
              <w:bottom w:val="single" w:color="auto" w:sz="4" w:space="0"/>
              <w:right w:val="single" w:color="auto" w:sz="4" w:space="0"/>
            </w:tcBorders>
            <w:noWrap w:val="0"/>
            <w:vAlign w:val="center"/>
          </w:tcPr>
          <w:p w14:paraId="1BA15683">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803" w:type="dxa"/>
            <w:tcBorders>
              <w:top w:val="single" w:color="auto" w:sz="4" w:space="0"/>
              <w:left w:val="single" w:color="auto" w:sz="4" w:space="0"/>
              <w:bottom w:val="single" w:color="auto" w:sz="4" w:space="0"/>
              <w:right w:val="single" w:color="auto" w:sz="4" w:space="0"/>
            </w:tcBorders>
            <w:noWrap w:val="0"/>
            <w:vAlign w:val="center"/>
          </w:tcPr>
          <w:p w14:paraId="74DA5450">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818" w:type="dxa"/>
            <w:tcBorders>
              <w:top w:val="single" w:color="auto" w:sz="4" w:space="0"/>
              <w:left w:val="single" w:color="auto" w:sz="4" w:space="0"/>
              <w:bottom w:val="single" w:color="auto" w:sz="4" w:space="0"/>
              <w:right w:val="single" w:color="auto" w:sz="4" w:space="0"/>
            </w:tcBorders>
            <w:noWrap w:val="0"/>
            <w:vAlign w:val="center"/>
          </w:tcPr>
          <w:p w14:paraId="687BEDEF">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514" w:type="dxa"/>
            <w:tcBorders>
              <w:top w:val="single" w:color="auto" w:sz="4" w:space="0"/>
              <w:left w:val="single" w:color="auto" w:sz="4" w:space="0"/>
              <w:bottom w:val="single" w:color="auto" w:sz="4" w:space="0"/>
              <w:right w:val="single" w:color="auto" w:sz="4" w:space="0"/>
            </w:tcBorders>
            <w:noWrap w:val="0"/>
            <w:vAlign w:val="center"/>
          </w:tcPr>
          <w:p w14:paraId="26FEA9F8">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7C08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61BF31DC">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665EC2F4">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3146" w:type="dxa"/>
            <w:gridSpan w:val="2"/>
            <w:tcBorders>
              <w:top w:val="single" w:color="auto" w:sz="4" w:space="0"/>
              <w:left w:val="single" w:color="auto" w:sz="4" w:space="0"/>
              <w:bottom w:val="single" w:color="auto" w:sz="4" w:space="0"/>
              <w:right w:val="single" w:color="auto" w:sz="4" w:space="0"/>
            </w:tcBorders>
            <w:noWrap w:val="0"/>
            <w:vAlign w:val="center"/>
          </w:tcPr>
          <w:p w14:paraId="7179E734">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6D3F177F">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34754585">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2C18EDD0">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14:paraId="441640EC">
            <w:pPr>
              <w:pStyle w:val="116"/>
              <w:spacing w:line="240" w:lineRule="auto"/>
              <w:ind w:firstLine="0" w:firstLineChars="0"/>
              <w:jc w:val="center"/>
              <w:rPr>
                <w:rFonts w:hint="eastAsia" w:ascii="仿宋" w:hAnsi="仿宋" w:eastAsia="仿宋" w:cs="仿宋"/>
                <w:color w:val="auto"/>
                <w:sz w:val="24"/>
                <w:szCs w:val="24"/>
                <w:lang w:val="en-US" w:eastAsia="zh-CN"/>
              </w:rPr>
            </w:pPr>
          </w:p>
        </w:tc>
      </w:tr>
      <w:tr w14:paraId="3E0F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53A3F611">
            <w:pPr>
              <w:pStyle w:val="116"/>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5D8FB252">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3146" w:type="dxa"/>
            <w:gridSpan w:val="2"/>
            <w:tcBorders>
              <w:top w:val="single" w:color="auto" w:sz="4" w:space="0"/>
              <w:left w:val="single" w:color="auto" w:sz="4" w:space="0"/>
              <w:bottom w:val="single" w:color="auto" w:sz="4" w:space="0"/>
              <w:right w:val="single" w:color="auto" w:sz="4" w:space="0"/>
            </w:tcBorders>
            <w:noWrap w:val="0"/>
            <w:vAlign w:val="center"/>
          </w:tcPr>
          <w:p w14:paraId="4A6EB6F6">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56" w:type="dxa"/>
            <w:tcBorders>
              <w:top w:val="single" w:color="auto" w:sz="4" w:space="0"/>
              <w:left w:val="single" w:color="auto" w:sz="4" w:space="0"/>
              <w:bottom w:val="single" w:color="auto" w:sz="4" w:space="0"/>
              <w:right w:val="single" w:color="auto" w:sz="4" w:space="0"/>
            </w:tcBorders>
            <w:noWrap w:val="0"/>
            <w:vAlign w:val="center"/>
          </w:tcPr>
          <w:p w14:paraId="74474004">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03" w:type="dxa"/>
            <w:tcBorders>
              <w:top w:val="single" w:color="auto" w:sz="4" w:space="0"/>
              <w:left w:val="single" w:color="auto" w:sz="4" w:space="0"/>
              <w:bottom w:val="single" w:color="auto" w:sz="4" w:space="0"/>
              <w:right w:val="single" w:color="auto" w:sz="4" w:space="0"/>
            </w:tcBorders>
            <w:noWrap w:val="0"/>
            <w:vAlign w:val="center"/>
          </w:tcPr>
          <w:p w14:paraId="5707DC93">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18" w:type="dxa"/>
            <w:tcBorders>
              <w:top w:val="single" w:color="auto" w:sz="4" w:space="0"/>
              <w:left w:val="single" w:color="auto" w:sz="4" w:space="0"/>
              <w:bottom w:val="single" w:color="auto" w:sz="4" w:space="0"/>
              <w:right w:val="single" w:color="auto" w:sz="4" w:space="0"/>
            </w:tcBorders>
            <w:noWrap w:val="0"/>
            <w:vAlign w:val="center"/>
          </w:tcPr>
          <w:p w14:paraId="132128F7">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1514" w:type="dxa"/>
            <w:tcBorders>
              <w:top w:val="single" w:color="auto" w:sz="4" w:space="0"/>
              <w:left w:val="single" w:color="auto" w:sz="4" w:space="0"/>
              <w:bottom w:val="single" w:color="auto" w:sz="4" w:space="0"/>
              <w:right w:val="single" w:color="auto" w:sz="4" w:space="0"/>
            </w:tcBorders>
            <w:noWrap w:val="0"/>
            <w:vAlign w:val="center"/>
          </w:tcPr>
          <w:p w14:paraId="658CC1B6">
            <w:pPr>
              <w:pStyle w:val="116"/>
              <w:spacing w:line="240" w:lineRule="auto"/>
              <w:ind w:firstLine="0" w:firstLineChars="0"/>
              <w:jc w:val="center"/>
              <w:rPr>
                <w:rFonts w:hint="eastAsia" w:ascii="仿宋" w:hAnsi="仿宋" w:eastAsia="仿宋" w:cs="仿宋"/>
                <w:color w:val="auto"/>
                <w:sz w:val="24"/>
                <w:szCs w:val="24"/>
                <w:lang w:val="en-US" w:eastAsia="zh-CN"/>
              </w:rPr>
            </w:pPr>
          </w:p>
        </w:tc>
      </w:tr>
      <w:tr w14:paraId="69BA9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499" w:type="dxa"/>
            <w:gridSpan w:val="8"/>
            <w:tcBorders>
              <w:top w:val="single" w:color="auto" w:sz="4" w:space="0"/>
              <w:left w:val="single" w:color="auto" w:sz="4" w:space="0"/>
              <w:bottom w:val="single" w:color="auto" w:sz="4" w:space="0"/>
              <w:right w:val="single" w:color="auto" w:sz="4" w:space="0"/>
            </w:tcBorders>
            <w:noWrap w:val="0"/>
            <w:vAlign w:val="center"/>
          </w:tcPr>
          <w:p w14:paraId="774AB8D7">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14:paraId="215A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499" w:type="dxa"/>
            <w:gridSpan w:val="8"/>
            <w:tcBorders>
              <w:top w:val="single" w:color="auto" w:sz="4" w:space="0"/>
              <w:left w:val="single" w:color="auto" w:sz="4" w:space="0"/>
              <w:bottom w:val="single" w:color="auto" w:sz="4" w:space="0"/>
              <w:right w:val="single" w:color="auto" w:sz="4" w:space="0"/>
            </w:tcBorders>
            <w:noWrap w:val="0"/>
            <w:vAlign w:val="center"/>
          </w:tcPr>
          <w:p w14:paraId="440832F6">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14:paraId="6EC30E6A">
      <w:pPr>
        <w:pStyle w:val="3"/>
        <w:ind w:left="0" w:leftChars="0" w:firstLine="0" w:firstLineChars="0"/>
        <w:rPr>
          <w:rFonts w:hint="eastAsia" w:ascii="仿宋" w:hAnsi="仿宋" w:eastAsia="仿宋" w:cs="仿宋"/>
        </w:rPr>
      </w:pPr>
    </w:p>
    <w:p w14:paraId="27C8EF15">
      <w:pPr>
        <w:spacing w:line="360" w:lineRule="auto"/>
        <w:ind w:firstLine="0" w:firstLineChars="0"/>
        <w:rPr>
          <w:rFonts w:hint="eastAsia" w:ascii="仿宋" w:hAnsi="仿宋" w:eastAsia="仿宋" w:cs="仿宋"/>
          <w:color w:val="auto"/>
          <w:sz w:val="24"/>
        </w:rPr>
      </w:pPr>
    </w:p>
    <w:p w14:paraId="5B60ECC3">
      <w:pPr>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14:paraId="0485CAC4">
      <w:pPr>
        <w:spacing w:line="360" w:lineRule="auto"/>
        <w:ind w:firstLine="480" w:firstLineChars="200"/>
        <w:rPr>
          <w:rFonts w:hint="eastAsia" w:ascii="仿宋" w:hAnsi="仿宋" w:eastAsia="仿宋" w:cs="仿宋"/>
          <w:b w:val="0"/>
          <w:bCs/>
          <w:color w:val="auto"/>
          <w:sz w:val="24"/>
          <w:lang w:eastAsia="zh-CN"/>
        </w:rPr>
      </w:pPr>
      <w:r>
        <w:rPr>
          <w:rFonts w:hint="eastAsia" w:ascii="仿宋" w:hAnsi="仿宋" w:eastAsia="仿宋" w:cs="仿宋"/>
          <w:b w:val="0"/>
          <w:bCs/>
          <w:color w:val="auto"/>
          <w:sz w:val="24"/>
        </w:rPr>
        <w:t>2.特别注意：</w:t>
      </w:r>
      <w:r>
        <w:rPr>
          <w:rFonts w:hint="eastAsia" w:ascii="仿宋" w:hAnsi="仿宋" w:eastAsia="仿宋" w:cs="仿宋"/>
          <w:b w:val="0"/>
          <w:bCs/>
          <w:color w:val="auto"/>
          <w:sz w:val="24"/>
          <w:lang w:eastAsia="zh-CN"/>
        </w:rPr>
        <w:t>本表中价格部分建议留空，其余内容可提前填写好</w:t>
      </w:r>
    </w:p>
    <w:p w14:paraId="41185AB8">
      <w:pPr>
        <w:snapToGrid w:val="0"/>
        <w:spacing w:line="360" w:lineRule="auto"/>
        <w:ind w:firstLine="480" w:firstLineChars="200"/>
        <w:jc w:val="left"/>
        <w:rPr>
          <w:rFonts w:hint="default" w:ascii="仿宋" w:hAnsi="仿宋" w:eastAsia="仿宋" w:cs="仿宋"/>
          <w:bCs/>
          <w:color w:val="auto"/>
          <w:sz w:val="24"/>
          <w:lang w:val="en-US" w:eastAsia="zh-CN"/>
        </w:rPr>
      </w:pPr>
      <w:r>
        <w:rPr>
          <w:rFonts w:hint="eastAsia" w:ascii="仿宋" w:hAnsi="仿宋" w:eastAsia="仿宋" w:cs="仿宋"/>
          <w:bCs/>
          <w:color w:val="auto"/>
          <w:sz w:val="24"/>
          <w:lang w:val="en-US" w:eastAsia="zh-CN"/>
        </w:rPr>
        <w:t>3.如不涉及多轮报价，则本表无须提交。</w:t>
      </w:r>
    </w:p>
    <w:p w14:paraId="7BA92F49">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6.未按以上要求报价无效。</w:t>
      </w:r>
    </w:p>
    <w:p w14:paraId="5D0FE993">
      <w:pPr>
        <w:spacing w:line="360" w:lineRule="auto"/>
        <w:ind w:firstLine="0" w:firstLineChars="0"/>
        <w:rPr>
          <w:rFonts w:hint="eastAsia" w:ascii="仿宋" w:hAnsi="仿宋" w:eastAsia="仿宋" w:cs="仿宋"/>
          <w:color w:val="auto"/>
          <w:sz w:val="24"/>
        </w:rPr>
      </w:pPr>
    </w:p>
    <w:p w14:paraId="6A7629E1">
      <w:pPr>
        <w:snapToGrid w:val="0"/>
        <w:spacing w:line="360" w:lineRule="auto"/>
        <w:ind w:firstLine="480" w:firstLineChars="200"/>
        <w:jc w:val="left"/>
        <w:rPr>
          <w:rFonts w:hint="eastAsia" w:ascii="仿宋" w:hAnsi="仿宋" w:eastAsia="仿宋" w:cs="仿宋"/>
          <w:bCs/>
          <w:color w:val="auto"/>
          <w:sz w:val="24"/>
        </w:rPr>
      </w:pPr>
    </w:p>
    <w:p w14:paraId="066DDEF8">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14:paraId="408FAF17">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14:paraId="42881443">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14:paraId="00DD3B9A">
      <w:pPr>
        <w:rPr>
          <w:rFonts w:hint="eastAsia" w:ascii="仿宋" w:hAnsi="仿宋" w:eastAsia="仿宋" w:cs="仿宋"/>
          <w:bCs/>
          <w:color w:val="auto"/>
          <w:sz w:val="24"/>
        </w:rPr>
      </w:pPr>
      <w:r>
        <w:rPr>
          <w:rFonts w:hint="eastAsia" w:ascii="仿宋" w:hAnsi="仿宋" w:eastAsia="仿宋" w:cs="仿宋"/>
          <w:bCs/>
          <w:color w:val="auto"/>
          <w:sz w:val="24"/>
        </w:rPr>
        <w:br w:type="page"/>
      </w:r>
    </w:p>
    <w:p w14:paraId="44F73764">
      <w:pPr>
        <w:snapToGrid w:val="0"/>
        <w:spacing w:line="360" w:lineRule="auto"/>
        <w:jc w:val="left"/>
        <w:outlineLvl w:val="2"/>
        <w:rPr>
          <w:rFonts w:ascii="仿宋" w:hAnsi="仿宋" w:eastAsia="仿宋" w:cs="仿宋"/>
          <w:bCs/>
          <w:sz w:val="24"/>
          <w:szCs w:val="22"/>
        </w:rPr>
      </w:pPr>
      <w:r>
        <w:rPr>
          <w:rFonts w:hint="eastAsia" w:ascii="仿宋" w:hAnsi="仿宋" w:eastAsia="仿宋" w:cs="仿宋"/>
          <w:b/>
          <w:bCs/>
          <w:sz w:val="24"/>
        </w:rPr>
        <w:t>格式3-3:最后报价一览表</w:t>
      </w:r>
    </w:p>
    <w:p w14:paraId="6CFDF631">
      <w:pPr>
        <w:widowControl/>
        <w:snapToGrid w:val="0"/>
        <w:spacing w:line="360" w:lineRule="auto"/>
        <w:jc w:val="center"/>
        <w:rPr>
          <w:rFonts w:ascii="仿宋" w:hAnsi="仿宋" w:eastAsia="仿宋" w:cs="仿宋"/>
          <w:b/>
          <w:bCs/>
          <w:sz w:val="24"/>
        </w:rPr>
      </w:pPr>
      <w:r>
        <w:rPr>
          <w:rFonts w:hint="eastAsia" w:ascii="仿宋" w:hAnsi="仿宋" w:eastAsia="仿宋" w:cs="仿宋"/>
          <w:b/>
          <w:bCs/>
          <w:sz w:val="36"/>
          <w:szCs w:val="36"/>
        </w:rPr>
        <w:t>最后报价一览表</w:t>
      </w:r>
    </w:p>
    <w:p w14:paraId="57EC80F5">
      <w:pPr>
        <w:pStyle w:val="116"/>
        <w:widowControl/>
        <w:spacing w:line="480" w:lineRule="auto"/>
        <w:ind w:firstLine="0"/>
        <w:jc w:val="center"/>
        <w:rPr>
          <w:rFonts w:hint="eastAsia" w:ascii="仿宋" w:hAnsi="仿宋" w:eastAsia="仿宋" w:cs="仿宋"/>
          <w:sz w:val="24"/>
          <w:szCs w:val="24"/>
        </w:rPr>
      </w:pPr>
      <w:r>
        <w:rPr>
          <w:rFonts w:hint="eastAsia" w:ascii="仿宋" w:hAnsi="仿宋" w:eastAsia="仿宋" w:cs="仿宋"/>
          <w:sz w:val="24"/>
          <w:szCs w:val="24"/>
        </w:rPr>
        <w:t>（实质性要求）</w:t>
      </w:r>
    </w:p>
    <w:p w14:paraId="0ECC1A69">
      <w:pPr>
        <w:spacing w:after="120" w:line="240" w:lineRule="auto"/>
        <w:jc w:val="both"/>
        <w:rPr>
          <w:rFonts w:hint="eastAsia" w:ascii="仿宋" w:hAnsi="仿宋" w:eastAsia="仿宋" w:cs="仿宋"/>
          <w:b w:val="0"/>
          <w:bCs w:val="0"/>
          <w:color w:val="000000" w:themeColor="text1"/>
          <w:sz w:val="22"/>
          <w:szCs w:val="22"/>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14:textFill>
            <w14:solidFill>
              <w14:schemeClr w14:val="tx1"/>
            </w14:solidFill>
          </w14:textFill>
        </w:rPr>
        <w:t>项目编号：</w:t>
      </w:r>
    </w:p>
    <w:p w14:paraId="77186E88">
      <w:pPr>
        <w:spacing w:after="120" w:line="240" w:lineRule="auto"/>
        <w:jc w:val="both"/>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b w:val="0"/>
          <w:bCs w:val="0"/>
          <w:color w:val="000000" w:themeColor="text1"/>
          <w:sz w:val="22"/>
          <w:szCs w:val="22"/>
          <w:highlight w:val="none"/>
          <w:lang w:val="en-US" w:eastAsia="zh-CN"/>
          <w14:textFill>
            <w14:solidFill>
              <w14:schemeClr w14:val="tx1"/>
            </w14:solidFill>
          </w14:textFill>
        </w:rPr>
        <w:t>项目名称：</w:t>
      </w:r>
    </w:p>
    <w:p w14:paraId="64B1F78E">
      <w:pPr>
        <w:pStyle w:val="3"/>
        <w:ind w:left="0" w:leftChars="0" w:firstLine="0" w:firstLineChars="0"/>
        <w:rPr>
          <w:rFonts w:hint="eastAsia" w:ascii="仿宋" w:hAnsi="仿宋" w:eastAsia="仿宋" w:cs="仿宋"/>
        </w:rPr>
      </w:pPr>
    </w:p>
    <w:tbl>
      <w:tblPr>
        <w:tblStyle w:val="2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412"/>
        <w:gridCol w:w="2451"/>
        <w:gridCol w:w="780"/>
        <w:gridCol w:w="880"/>
        <w:gridCol w:w="824"/>
        <w:gridCol w:w="841"/>
        <w:gridCol w:w="1555"/>
      </w:tblGrid>
      <w:tr w14:paraId="1A0D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879" w:type="dxa"/>
            <w:gridSpan w:val="3"/>
            <w:tcBorders>
              <w:top w:val="single" w:color="auto" w:sz="4" w:space="0"/>
              <w:left w:val="single" w:color="auto" w:sz="4" w:space="0"/>
              <w:bottom w:val="single" w:color="auto" w:sz="4" w:space="0"/>
              <w:right w:val="single" w:color="auto" w:sz="4" w:space="0"/>
            </w:tcBorders>
            <w:noWrap w:val="0"/>
            <w:vAlign w:val="center"/>
          </w:tcPr>
          <w:p w14:paraId="5755C257">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4880" w:type="dxa"/>
            <w:gridSpan w:val="5"/>
            <w:tcBorders>
              <w:top w:val="single" w:color="auto" w:sz="4" w:space="0"/>
              <w:left w:val="single" w:color="auto" w:sz="4" w:space="0"/>
              <w:bottom w:val="single" w:color="auto" w:sz="4" w:space="0"/>
              <w:right w:val="single" w:color="auto" w:sz="4" w:space="0"/>
            </w:tcBorders>
            <w:noWrap w:val="0"/>
            <w:vAlign w:val="center"/>
          </w:tcPr>
          <w:p w14:paraId="75F550A4">
            <w:pPr>
              <w:pStyle w:val="116"/>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14:paraId="4A49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52A13D1">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283A1379">
            <w:pPr>
              <w:pStyle w:val="116"/>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14:paraId="06D755E7">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880" w:type="dxa"/>
            <w:tcBorders>
              <w:top w:val="single" w:color="auto" w:sz="4" w:space="0"/>
              <w:left w:val="single" w:color="auto" w:sz="4" w:space="0"/>
              <w:bottom w:val="single" w:color="auto" w:sz="4" w:space="0"/>
              <w:right w:val="single" w:color="auto" w:sz="4" w:space="0"/>
            </w:tcBorders>
            <w:noWrap w:val="0"/>
            <w:vAlign w:val="center"/>
          </w:tcPr>
          <w:p w14:paraId="0C4D2F03">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824" w:type="dxa"/>
            <w:tcBorders>
              <w:top w:val="single" w:color="auto" w:sz="4" w:space="0"/>
              <w:left w:val="single" w:color="auto" w:sz="4" w:space="0"/>
              <w:bottom w:val="single" w:color="auto" w:sz="4" w:space="0"/>
              <w:right w:val="single" w:color="auto" w:sz="4" w:space="0"/>
            </w:tcBorders>
            <w:noWrap w:val="0"/>
            <w:vAlign w:val="center"/>
          </w:tcPr>
          <w:p w14:paraId="73290E99">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332D5505">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555" w:type="dxa"/>
            <w:tcBorders>
              <w:top w:val="single" w:color="auto" w:sz="4" w:space="0"/>
              <w:left w:val="single" w:color="auto" w:sz="4" w:space="0"/>
              <w:bottom w:val="single" w:color="auto" w:sz="4" w:space="0"/>
              <w:right w:val="single" w:color="auto" w:sz="4" w:space="0"/>
            </w:tcBorders>
            <w:noWrap w:val="0"/>
            <w:vAlign w:val="center"/>
          </w:tcPr>
          <w:p w14:paraId="4232057D">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14:paraId="01415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33D75FDD">
            <w:pPr>
              <w:pStyle w:val="116"/>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1898785E">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14:paraId="4653B31C">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418E23A8">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577BDB5B">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6455E5C6">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30E9A1C4">
            <w:pPr>
              <w:pStyle w:val="116"/>
              <w:spacing w:line="240" w:lineRule="auto"/>
              <w:ind w:firstLine="0" w:firstLineChars="0"/>
              <w:jc w:val="center"/>
              <w:rPr>
                <w:rFonts w:hint="eastAsia" w:ascii="仿宋" w:hAnsi="仿宋" w:eastAsia="仿宋" w:cs="仿宋"/>
                <w:color w:val="auto"/>
                <w:sz w:val="24"/>
                <w:szCs w:val="24"/>
                <w:lang w:val="en-US" w:eastAsia="zh-CN"/>
              </w:rPr>
            </w:pPr>
          </w:p>
        </w:tc>
      </w:tr>
      <w:tr w14:paraId="3BFE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14:paraId="637D0486">
            <w:pPr>
              <w:pStyle w:val="116"/>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412" w:type="dxa"/>
            <w:tcBorders>
              <w:top w:val="single" w:color="auto" w:sz="4" w:space="0"/>
              <w:left w:val="single" w:color="auto" w:sz="4" w:space="0"/>
              <w:bottom w:val="single" w:color="auto" w:sz="4" w:space="0"/>
              <w:right w:val="single" w:color="auto" w:sz="4" w:space="0"/>
            </w:tcBorders>
            <w:noWrap w:val="0"/>
            <w:vAlign w:val="center"/>
          </w:tcPr>
          <w:p w14:paraId="7EDDE94E">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3231" w:type="dxa"/>
            <w:gridSpan w:val="2"/>
            <w:tcBorders>
              <w:top w:val="single" w:color="auto" w:sz="4" w:space="0"/>
              <w:left w:val="single" w:color="auto" w:sz="4" w:space="0"/>
              <w:bottom w:val="single" w:color="auto" w:sz="4" w:space="0"/>
              <w:right w:val="single" w:color="auto" w:sz="4" w:space="0"/>
            </w:tcBorders>
            <w:noWrap w:val="0"/>
            <w:vAlign w:val="center"/>
          </w:tcPr>
          <w:p w14:paraId="3E6158C5">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80" w:type="dxa"/>
            <w:tcBorders>
              <w:top w:val="single" w:color="auto" w:sz="4" w:space="0"/>
              <w:left w:val="single" w:color="auto" w:sz="4" w:space="0"/>
              <w:bottom w:val="single" w:color="auto" w:sz="4" w:space="0"/>
              <w:right w:val="single" w:color="auto" w:sz="4" w:space="0"/>
            </w:tcBorders>
            <w:noWrap w:val="0"/>
            <w:vAlign w:val="center"/>
          </w:tcPr>
          <w:p w14:paraId="145999B8">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3B07F163">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56DEDD08">
            <w:pPr>
              <w:pStyle w:val="116"/>
              <w:spacing w:line="240" w:lineRule="auto"/>
              <w:ind w:firstLine="0" w:firstLineChars="0"/>
              <w:jc w:val="center"/>
              <w:rPr>
                <w:rFonts w:hint="eastAsia" w:ascii="仿宋" w:hAnsi="仿宋" w:eastAsia="仿宋" w:cs="仿宋"/>
                <w:color w:val="auto"/>
                <w:sz w:val="24"/>
                <w:szCs w:val="24"/>
                <w:lang w:val="en-US" w:eastAsia="zh-CN"/>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14:paraId="5054A0AD">
            <w:pPr>
              <w:pStyle w:val="116"/>
              <w:spacing w:line="240" w:lineRule="auto"/>
              <w:ind w:firstLine="0" w:firstLineChars="0"/>
              <w:jc w:val="center"/>
              <w:rPr>
                <w:rFonts w:hint="eastAsia" w:ascii="仿宋" w:hAnsi="仿宋" w:eastAsia="仿宋" w:cs="仿宋"/>
                <w:color w:val="auto"/>
                <w:sz w:val="24"/>
                <w:szCs w:val="24"/>
                <w:lang w:val="en-US" w:eastAsia="zh-CN"/>
              </w:rPr>
            </w:pPr>
          </w:p>
        </w:tc>
      </w:tr>
      <w:tr w14:paraId="4744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59" w:type="dxa"/>
            <w:gridSpan w:val="8"/>
            <w:tcBorders>
              <w:top w:val="single" w:color="auto" w:sz="4" w:space="0"/>
              <w:left w:val="single" w:color="auto" w:sz="4" w:space="0"/>
              <w:bottom w:val="single" w:color="auto" w:sz="4" w:space="0"/>
              <w:right w:val="single" w:color="auto" w:sz="4" w:space="0"/>
            </w:tcBorders>
            <w:noWrap w:val="0"/>
            <w:vAlign w:val="center"/>
          </w:tcPr>
          <w:p w14:paraId="2FBAC5AF">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14:paraId="3A9D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759" w:type="dxa"/>
            <w:gridSpan w:val="8"/>
            <w:tcBorders>
              <w:top w:val="single" w:color="auto" w:sz="4" w:space="0"/>
              <w:left w:val="single" w:color="auto" w:sz="4" w:space="0"/>
              <w:bottom w:val="single" w:color="auto" w:sz="4" w:space="0"/>
              <w:right w:val="single" w:color="auto" w:sz="4" w:space="0"/>
            </w:tcBorders>
            <w:noWrap w:val="0"/>
            <w:vAlign w:val="center"/>
          </w:tcPr>
          <w:p w14:paraId="3867062F">
            <w:pPr>
              <w:pStyle w:val="116"/>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14:paraId="3537F04A">
      <w:pPr>
        <w:spacing w:line="360" w:lineRule="auto"/>
        <w:ind w:firstLine="0" w:firstLineChars="0"/>
        <w:rPr>
          <w:rFonts w:hint="eastAsia" w:ascii="仿宋" w:hAnsi="仿宋" w:eastAsia="仿宋" w:cs="仿宋"/>
          <w:color w:val="auto"/>
          <w:sz w:val="24"/>
        </w:rPr>
      </w:pPr>
    </w:p>
    <w:p w14:paraId="2358E9A4">
      <w:pPr>
        <w:spacing w:line="360" w:lineRule="auto"/>
        <w:ind w:firstLine="0" w:firstLineChars="0"/>
        <w:rPr>
          <w:rFonts w:hint="eastAsia" w:ascii="仿宋" w:hAnsi="仿宋" w:eastAsia="仿宋" w:cs="仿宋"/>
          <w:bCs/>
          <w:color w:val="auto"/>
          <w:sz w:val="24"/>
          <w:szCs w:val="22"/>
        </w:rPr>
      </w:pPr>
      <w:r>
        <w:rPr>
          <w:rFonts w:hint="eastAsia" w:ascii="仿宋" w:hAnsi="仿宋" w:eastAsia="仿宋" w:cs="仿宋"/>
          <w:bCs/>
          <w:color w:val="auto"/>
          <w:sz w:val="24"/>
          <w:szCs w:val="22"/>
        </w:rPr>
        <w:t>注：</w:t>
      </w:r>
    </w:p>
    <w:p w14:paraId="230C6E0F">
      <w:pPr>
        <w:spacing w:line="360" w:lineRule="auto"/>
        <w:ind w:firstLine="0" w:firstLineChars="0"/>
        <w:rPr>
          <w:rFonts w:ascii="仿宋" w:hAnsi="仿宋" w:eastAsia="仿宋" w:cs="仿宋"/>
          <w:color w:val="auto"/>
          <w:sz w:val="24"/>
        </w:rPr>
      </w:pPr>
      <w:r>
        <w:rPr>
          <w:rFonts w:hint="eastAsia" w:ascii="仿宋" w:hAnsi="仿宋" w:eastAsia="仿宋" w:cs="仿宋"/>
          <w:bCs/>
          <w:color w:val="auto"/>
          <w:sz w:val="24"/>
          <w:szCs w:val="22"/>
        </w:rPr>
        <w:t>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14:paraId="7BA07D13">
      <w:pPr>
        <w:pStyle w:val="116"/>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本表中价格部分建议留空，其余内容可提前填写好。</w:t>
      </w:r>
    </w:p>
    <w:p w14:paraId="4454CB2B">
      <w:pPr>
        <w:pStyle w:val="116"/>
        <w:widowControl/>
        <w:spacing w:line="480" w:lineRule="auto"/>
        <w:ind w:firstLine="0"/>
        <w:jc w:val="center"/>
        <w:rPr>
          <w:rFonts w:hint="eastAsia" w:ascii="仿宋" w:hAnsi="仿宋" w:eastAsia="仿宋" w:cs="仿宋"/>
          <w:sz w:val="24"/>
          <w:szCs w:val="24"/>
        </w:rPr>
      </w:pPr>
    </w:p>
    <w:p w14:paraId="3F01A7AE">
      <w:pPr>
        <w:pStyle w:val="2"/>
        <w:rPr>
          <w:rFonts w:hint="eastAsia" w:ascii="仿宋" w:hAnsi="仿宋" w:eastAsia="仿宋" w:cs="仿宋"/>
        </w:rPr>
      </w:pPr>
    </w:p>
    <w:p w14:paraId="1C99E711">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供应商名称（加盖公章）：</w:t>
      </w:r>
    </w:p>
    <w:p w14:paraId="0B1A8B09">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14:paraId="315C5F23">
      <w:pPr>
        <w:snapToGrid w:val="0"/>
        <w:spacing w:line="360" w:lineRule="auto"/>
        <w:ind w:firstLine="480" w:firstLineChars="200"/>
        <w:jc w:val="left"/>
        <w:rPr>
          <w:rFonts w:hint="eastAsia" w:ascii="仿宋" w:hAnsi="仿宋" w:eastAsia="仿宋" w:cs="仿宋"/>
          <w:bCs/>
          <w:color w:val="auto"/>
          <w:sz w:val="24"/>
          <w:lang w:eastAsia="zh-CN"/>
        </w:rPr>
      </w:pPr>
      <w:r>
        <w:rPr>
          <w:rFonts w:hint="eastAsia" w:ascii="仿宋" w:hAnsi="仿宋" w:eastAsia="仿宋" w:cs="仿宋"/>
          <w:bCs/>
          <w:color w:val="auto"/>
          <w:sz w:val="24"/>
        </w:rPr>
        <w:t>日    期</w:t>
      </w:r>
      <w:r>
        <w:rPr>
          <w:rFonts w:hint="eastAsia" w:ascii="仿宋" w:hAnsi="仿宋" w:eastAsia="仿宋" w:cs="仿宋"/>
          <w:bCs/>
          <w:color w:val="auto"/>
          <w:sz w:val="24"/>
          <w:lang w:eastAsia="zh-CN"/>
        </w:rPr>
        <w:t>：</w:t>
      </w:r>
    </w:p>
    <w:p w14:paraId="71B63812">
      <w:pPr>
        <w:rPr>
          <w:rFonts w:hint="eastAsia" w:ascii="仿宋" w:hAnsi="仿宋" w:eastAsia="仿宋" w:cs="仿宋"/>
          <w:b/>
          <w:bCs/>
          <w:color w:val="auto"/>
          <w:sz w:val="24"/>
        </w:rPr>
      </w:pPr>
      <w:r>
        <w:rPr>
          <w:rFonts w:hint="eastAsia" w:ascii="仿宋" w:hAnsi="仿宋" w:eastAsia="仿宋" w:cs="仿宋"/>
          <w:b/>
          <w:bCs/>
          <w:color w:val="auto"/>
          <w:sz w:val="24"/>
        </w:rPr>
        <w:br w:type="page"/>
      </w:r>
    </w:p>
    <w:bookmarkEnd w:id="118"/>
    <w:bookmarkEnd w:id="119"/>
    <w:p w14:paraId="72106215">
      <w:pPr>
        <w:snapToGrid w:val="0"/>
        <w:spacing w:line="360" w:lineRule="auto"/>
        <w:jc w:val="center"/>
        <w:outlineLvl w:val="1"/>
        <w:rPr>
          <w:rFonts w:hint="eastAsia" w:ascii="仿宋" w:hAnsi="仿宋" w:eastAsia="仿宋" w:cs="仿宋"/>
          <w:b/>
          <w:bCs/>
          <w:color w:val="auto"/>
          <w:sz w:val="30"/>
          <w:szCs w:val="30"/>
        </w:rPr>
      </w:pPr>
      <w:bookmarkStart w:id="120" w:name="_Toc25006"/>
      <w:bookmarkStart w:id="121" w:name="_Toc17388"/>
      <w:bookmarkStart w:id="122" w:name="_Toc25789"/>
      <w:bookmarkStart w:id="123" w:name="_Toc14104"/>
      <w:r>
        <w:rPr>
          <w:rFonts w:hint="eastAsia" w:ascii="仿宋" w:hAnsi="仿宋" w:eastAsia="仿宋" w:cs="仿宋"/>
          <w:b/>
          <w:bCs/>
          <w:color w:val="auto"/>
          <w:sz w:val="30"/>
          <w:szCs w:val="30"/>
          <w:lang w:eastAsia="zh-CN"/>
        </w:rPr>
        <w:t>第四部分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电子文档</w:t>
      </w:r>
      <w:r>
        <w:rPr>
          <w:rFonts w:hint="eastAsia" w:ascii="仿宋" w:hAnsi="仿宋" w:eastAsia="仿宋" w:cs="仿宋"/>
          <w:b/>
          <w:bCs/>
          <w:color w:val="auto"/>
          <w:sz w:val="30"/>
          <w:szCs w:val="30"/>
        </w:rPr>
        <w:t>”格式</w:t>
      </w:r>
    </w:p>
    <w:p w14:paraId="28201836">
      <w:pPr>
        <w:pStyle w:val="2"/>
        <w:numPr>
          <w:ilvl w:val="0"/>
          <w:numId w:val="0"/>
        </w:numPr>
        <w:ind w:leftChars="0"/>
        <w:rPr>
          <w:rFonts w:hint="eastAsia" w:ascii="仿宋" w:hAnsi="仿宋" w:eastAsia="仿宋" w:cs="仿宋"/>
          <w:color w:val="auto"/>
        </w:rPr>
      </w:pPr>
    </w:p>
    <w:p w14:paraId="2DDA0C24">
      <w:pPr>
        <w:tabs>
          <w:tab w:val="left" w:leader="dot" w:pos="7380"/>
        </w:tabs>
        <w:snapToGrid w:val="0"/>
        <w:spacing w:line="324" w:lineRule="auto"/>
        <w:jc w:val="both"/>
        <w:outlineLvl w:val="2"/>
        <w:rPr>
          <w:rFonts w:hint="eastAsia" w:ascii="仿宋" w:hAnsi="仿宋" w:eastAsia="仿宋" w:cs="仿宋"/>
          <w:b/>
          <w:bCs/>
          <w:color w:val="auto"/>
          <w:sz w:val="30"/>
          <w:szCs w:val="30"/>
        </w:rPr>
      </w:pP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4-1:</w:t>
      </w:r>
      <w:r>
        <w:rPr>
          <w:rFonts w:hint="eastAsia" w:ascii="仿宋" w:hAnsi="仿宋" w:eastAsia="仿宋" w:cs="仿宋"/>
          <w:b/>
          <w:bCs/>
          <w:color w:val="auto"/>
          <w:sz w:val="24"/>
          <w:szCs w:val="24"/>
        </w:rPr>
        <w:t>电子</w:t>
      </w:r>
      <w:r>
        <w:rPr>
          <w:rFonts w:hint="eastAsia" w:ascii="仿宋" w:hAnsi="仿宋" w:eastAsia="仿宋" w:cs="仿宋"/>
          <w:b/>
          <w:bCs/>
          <w:color w:val="auto"/>
          <w:sz w:val="24"/>
          <w:szCs w:val="24"/>
          <w:lang w:eastAsia="zh-CN"/>
        </w:rPr>
        <w:t>文档封面</w:t>
      </w:r>
    </w:p>
    <w:p w14:paraId="16B11818">
      <w:pPr>
        <w:tabs>
          <w:tab w:val="left" w:leader="dot" w:pos="7380"/>
        </w:tabs>
        <w:snapToGrid w:val="0"/>
        <w:spacing w:line="324" w:lineRule="auto"/>
        <w:jc w:val="left"/>
        <w:rPr>
          <w:rFonts w:hint="eastAsia" w:ascii="仿宋" w:hAnsi="仿宋" w:eastAsia="仿宋" w:cs="仿宋"/>
          <w:b/>
          <w:bCs/>
          <w:color w:val="auto"/>
          <w:sz w:val="32"/>
          <w:szCs w:val="32"/>
        </w:rPr>
      </w:pPr>
    </w:p>
    <w:p w14:paraId="03299A9C">
      <w:pPr>
        <w:pStyle w:val="2"/>
        <w:rPr>
          <w:rFonts w:hint="eastAsia" w:ascii="仿宋" w:hAnsi="仿宋" w:eastAsia="仿宋" w:cs="仿宋"/>
        </w:rPr>
      </w:pPr>
    </w:p>
    <w:p w14:paraId="0C8D5603">
      <w:pPr>
        <w:tabs>
          <w:tab w:val="left" w:leader="dot" w:pos="7380"/>
        </w:tabs>
        <w:snapToGrid w:val="0"/>
        <w:spacing w:line="324" w:lineRule="auto"/>
        <w:jc w:val="left"/>
        <w:rPr>
          <w:rFonts w:hint="eastAsia" w:ascii="仿宋" w:hAnsi="仿宋" w:eastAsia="仿宋" w:cs="仿宋"/>
          <w:b/>
          <w:bCs/>
          <w:color w:val="auto"/>
          <w:sz w:val="32"/>
          <w:szCs w:val="32"/>
        </w:rPr>
      </w:pPr>
    </w:p>
    <w:p w14:paraId="116B2F48">
      <w:pPr>
        <w:tabs>
          <w:tab w:val="left" w:leader="dot" w:pos="7380"/>
        </w:tabs>
        <w:snapToGrid w:val="0"/>
        <w:spacing w:line="324" w:lineRule="auto"/>
        <w:jc w:val="left"/>
        <w:rPr>
          <w:rFonts w:hint="eastAsia" w:ascii="仿宋" w:hAnsi="仿宋" w:eastAsia="仿宋" w:cs="仿宋"/>
          <w:b/>
          <w:bCs/>
          <w:color w:val="auto"/>
          <w:sz w:val="32"/>
          <w:szCs w:val="32"/>
        </w:rPr>
      </w:pPr>
    </w:p>
    <w:p w14:paraId="7B1BB3F3">
      <w:pPr>
        <w:tabs>
          <w:tab w:val="left" w:leader="dot" w:pos="7380"/>
        </w:tabs>
        <w:snapToGrid w:val="0"/>
        <w:spacing w:line="324" w:lineRule="auto"/>
        <w:jc w:val="left"/>
        <w:rPr>
          <w:rFonts w:hint="eastAsia" w:ascii="仿宋" w:hAnsi="仿宋" w:eastAsia="仿宋" w:cs="仿宋"/>
          <w:b/>
          <w:bCs/>
          <w:color w:val="auto"/>
          <w:sz w:val="32"/>
          <w:szCs w:val="32"/>
        </w:rPr>
      </w:pPr>
    </w:p>
    <w:p w14:paraId="334A81E8">
      <w:pPr>
        <w:tabs>
          <w:tab w:val="left" w:leader="dot" w:pos="7380"/>
        </w:tabs>
        <w:snapToGrid w:val="0"/>
        <w:jc w:val="center"/>
        <w:rPr>
          <w:rFonts w:hint="eastAsia" w:ascii="仿宋" w:hAnsi="仿宋" w:eastAsia="仿宋" w:cs="仿宋"/>
          <w:b/>
          <w:bCs/>
          <w:color w:val="auto"/>
          <w:sz w:val="84"/>
          <w:szCs w:val="84"/>
          <w:lang w:eastAsia="zh-CN"/>
        </w:rPr>
      </w:pPr>
      <w:r>
        <w:rPr>
          <w:rFonts w:hint="eastAsia" w:ascii="仿宋" w:hAnsi="仿宋" w:eastAsia="仿宋" w:cs="仿宋"/>
          <w:b/>
          <w:bCs/>
          <w:color w:val="auto"/>
          <w:sz w:val="84"/>
          <w:szCs w:val="84"/>
        </w:rPr>
        <w:t>电子</w:t>
      </w:r>
      <w:r>
        <w:rPr>
          <w:rFonts w:hint="eastAsia" w:ascii="仿宋" w:hAnsi="仿宋" w:eastAsia="仿宋" w:cs="仿宋"/>
          <w:b/>
          <w:bCs/>
          <w:color w:val="auto"/>
          <w:sz w:val="84"/>
          <w:szCs w:val="84"/>
          <w:lang w:eastAsia="zh-CN"/>
        </w:rPr>
        <w:t>文档</w:t>
      </w:r>
    </w:p>
    <w:p w14:paraId="7E540C58">
      <w:pPr>
        <w:tabs>
          <w:tab w:val="left" w:leader="dot" w:pos="7380"/>
        </w:tabs>
        <w:snapToGrid w:val="0"/>
        <w:spacing w:line="324" w:lineRule="auto"/>
        <w:jc w:val="center"/>
        <w:rPr>
          <w:rFonts w:hint="eastAsia" w:ascii="仿宋" w:hAnsi="仿宋" w:eastAsia="仿宋" w:cs="仿宋"/>
          <w:b/>
          <w:bCs/>
          <w:color w:val="auto"/>
          <w:sz w:val="32"/>
          <w:szCs w:val="32"/>
        </w:rPr>
      </w:pPr>
    </w:p>
    <w:p w14:paraId="6C3BA559">
      <w:pPr>
        <w:tabs>
          <w:tab w:val="left" w:leader="dot" w:pos="7380"/>
        </w:tabs>
        <w:snapToGrid w:val="0"/>
        <w:spacing w:line="324" w:lineRule="auto"/>
        <w:jc w:val="center"/>
        <w:rPr>
          <w:rFonts w:hint="eastAsia" w:ascii="仿宋" w:hAnsi="仿宋" w:eastAsia="仿宋" w:cs="仿宋"/>
          <w:b/>
          <w:bCs/>
          <w:color w:val="auto"/>
          <w:sz w:val="32"/>
          <w:szCs w:val="32"/>
        </w:rPr>
      </w:pPr>
    </w:p>
    <w:p w14:paraId="2823628E">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14:paraId="3EDAE8F3">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14:paraId="7D542D51">
      <w:pPr>
        <w:tabs>
          <w:tab w:val="left" w:leader="dot" w:pos="7380"/>
        </w:tabs>
        <w:snapToGrid w:val="0"/>
        <w:spacing w:line="360" w:lineRule="auto"/>
        <w:jc w:val="left"/>
        <w:rPr>
          <w:rFonts w:hint="eastAsia" w:ascii="仿宋" w:hAnsi="仿宋" w:eastAsia="仿宋" w:cs="仿宋"/>
          <w:b/>
          <w:bCs/>
          <w:color w:val="auto"/>
          <w:sz w:val="32"/>
          <w:szCs w:val="32"/>
        </w:rPr>
      </w:pPr>
    </w:p>
    <w:p w14:paraId="4DC56CCE">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14:paraId="207C29B8">
      <w:pPr>
        <w:tabs>
          <w:tab w:val="left" w:leader="dot" w:pos="7380"/>
        </w:tabs>
        <w:snapToGrid w:val="0"/>
        <w:spacing w:line="360" w:lineRule="auto"/>
        <w:jc w:val="left"/>
        <w:rPr>
          <w:rFonts w:hint="eastAsia" w:ascii="仿宋" w:hAnsi="仿宋" w:eastAsia="仿宋" w:cs="仿宋"/>
          <w:b/>
          <w:bCs/>
          <w:color w:val="auto"/>
          <w:sz w:val="32"/>
          <w:szCs w:val="32"/>
        </w:rPr>
      </w:pPr>
    </w:p>
    <w:p w14:paraId="567F47FF">
      <w:pPr>
        <w:tabs>
          <w:tab w:val="left" w:leader="dot" w:pos="7380"/>
        </w:tabs>
        <w:snapToGrid w:val="0"/>
        <w:spacing w:line="360" w:lineRule="auto"/>
        <w:jc w:val="left"/>
        <w:rPr>
          <w:rFonts w:hint="eastAsia" w:ascii="仿宋" w:hAnsi="仿宋" w:eastAsia="仿宋" w:cs="仿宋"/>
          <w:b/>
          <w:bCs/>
          <w:color w:val="auto"/>
          <w:sz w:val="32"/>
          <w:szCs w:val="32"/>
        </w:rPr>
      </w:pPr>
    </w:p>
    <w:p w14:paraId="418D90C5">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14:paraId="2E4E5CF9">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14:paraId="0E758E5F">
      <w:pPr>
        <w:widowControl/>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sectPr>
          <w:headerReference r:id="rId11" w:type="first"/>
          <w:footerReference r:id="rId13" w:type="first"/>
          <w:headerReference r:id="rId10" w:type="default"/>
          <w:footerReference r:id="rId12" w:type="default"/>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14:paraId="44008DFF">
      <w:pPr>
        <w:spacing w:before="0" w:beforeLines="0" w:after="313" w:afterLines="100" w:line="240" w:lineRule="auto"/>
        <w:jc w:val="center"/>
        <w:outlineLvl w:val="0"/>
        <w:rPr>
          <w:rFonts w:ascii="仿宋" w:hAnsi="仿宋" w:eastAsia="仿宋" w:cs="仿宋"/>
          <w:b/>
          <w:color w:val="auto"/>
          <w:sz w:val="36"/>
          <w:szCs w:val="36"/>
        </w:rPr>
      </w:pPr>
      <w:bookmarkStart w:id="124" w:name="_Toc26224"/>
      <w:bookmarkStart w:id="125" w:name="_Toc5293"/>
      <w:r>
        <w:rPr>
          <w:rFonts w:hint="eastAsia" w:ascii="仿宋" w:hAnsi="仿宋" w:eastAsia="仿宋" w:cs="仿宋"/>
          <w:b/>
          <w:color w:val="auto"/>
          <w:sz w:val="36"/>
          <w:szCs w:val="36"/>
        </w:rPr>
        <w:t>第</w:t>
      </w:r>
      <w:r>
        <w:rPr>
          <w:rFonts w:hint="eastAsia" w:ascii="仿宋" w:hAnsi="仿宋" w:eastAsia="仿宋" w:cs="仿宋"/>
          <w:b/>
          <w:color w:val="auto"/>
          <w:sz w:val="36"/>
          <w:szCs w:val="36"/>
          <w:lang w:eastAsia="zh-CN"/>
        </w:rPr>
        <w:t>八</w:t>
      </w:r>
      <w:r>
        <w:rPr>
          <w:rFonts w:hint="eastAsia" w:ascii="仿宋" w:hAnsi="仿宋" w:eastAsia="仿宋" w:cs="仿宋"/>
          <w:b/>
          <w:color w:val="auto"/>
          <w:sz w:val="36"/>
          <w:szCs w:val="36"/>
        </w:rPr>
        <w:t>章 评审办法</w:t>
      </w:r>
      <w:bookmarkEnd w:id="120"/>
      <w:bookmarkEnd w:id="121"/>
      <w:bookmarkEnd w:id="122"/>
      <w:bookmarkEnd w:id="123"/>
      <w:bookmarkEnd w:id="124"/>
      <w:bookmarkEnd w:id="125"/>
    </w:p>
    <w:p w14:paraId="695440B3">
      <w:pPr>
        <w:numPr>
          <w:ilvl w:val="-1"/>
          <w:numId w:val="0"/>
        </w:numPr>
        <w:spacing w:before="313" w:beforeLines="100" w:after="313" w:afterLines="100" w:line="400" w:lineRule="exact"/>
        <w:jc w:val="center"/>
        <w:outlineLvl w:val="1"/>
        <w:rPr>
          <w:rFonts w:ascii="仿宋" w:hAnsi="仿宋" w:eastAsia="仿宋" w:cs="仿宋"/>
          <w:b/>
          <w:color w:val="auto"/>
          <w:sz w:val="30"/>
          <w:szCs w:val="30"/>
        </w:rPr>
      </w:pPr>
      <w:r>
        <w:rPr>
          <w:rFonts w:hint="eastAsia" w:ascii="仿宋" w:hAnsi="仿宋" w:eastAsia="仿宋" w:cs="仿宋"/>
          <w:b/>
          <w:color w:val="auto"/>
          <w:sz w:val="30"/>
          <w:szCs w:val="30"/>
          <w:lang w:eastAsia="zh-CN"/>
        </w:rPr>
        <w:t>一、</w:t>
      </w:r>
      <w:r>
        <w:rPr>
          <w:rFonts w:hint="eastAsia" w:ascii="仿宋" w:hAnsi="仿宋" w:eastAsia="仿宋" w:cs="仿宋"/>
          <w:b/>
          <w:color w:val="auto"/>
          <w:sz w:val="30"/>
          <w:szCs w:val="30"/>
        </w:rPr>
        <w:t>总则</w:t>
      </w:r>
    </w:p>
    <w:p w14:paraId="16F665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根据本项目特点制定本评审办法。</w:t>
      </w:r>
    </w:p>
    <w:p w14:paraId="50FE4D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评审工作由采购代理机构负责组织，具体评审事务由采购代理机构依法组建的评审委员会负责。评审委员会由采购人代表和有关技术、经济等方面的专家组成。</w:t>
      </w:r>
    </w:p>
    <w:p w14:paraId="27C4E7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评审工作应遵循公平、公正、同时兼顾充分满足采购需求、保证采购项目质量的原则。</w:t>
      </w:r>
    </w:p>
    <w:p w14:paraId="7DA11A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评审委员会按照谈判文件规定的评审方法和标准进行评审，并独立履行下列职责：</w:t>
      </w:r>
    </w:p>
    <w:p w14:paraId="00CD66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（1）熟悉和理解谈判文件；</w:t>
      </w:r>
    </w:p>
    <w:p w14:paraId="40582F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（2）审查供应商响应文件等是否满足谈判文件要求，并作出评价；</w:t>
      </w:r>
    </w:p>
    <w:p w14:paraId="41804C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（3）根据需要要求采购单位对谈判文件作出解释；根据需要要求供应商对响应文件有关事项作出澄清、说明或者更正；</w:t>
      </w:r>
    </w:p>
    <w:p w14:paraId="785A23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（4）推荐成交候选供应商，或者受采购人委托确定成交供应商；</w:t>
      </w:r>
    </w:p>
    <w:p w14:paraId="756B39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（5）起草评审报告并进行签署；</w:t>
      </w:r>
    </w:p>
    <w:p w14:paraId="1787C8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（6）向采购单位或者其他监督部门报告非法干预评审工作的行为；</w:t>
      </w:r>
    </w:p>
    <w:p w14:paraId="64376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（7）法律、法规和规章规定的其他职责。</w:t>
      </w:r>
    </w:p>
    <w:p w14:paraId="48AFC4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评审过程独立、保密。供应商非法干预评审过程的行为将导致其响应文件作为无效文件处理。</w:t>
      </w:r>
    </w:p>
    <w:p w14:paraId="0C5117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评审委员会评价响应文件的实质性，对于供应商人而言，除评审委员会要求其澄清、说明或者更正而提供的资料外，仅依据响应文件本身的内容，不寻求其他外部证据。</w:t>
      </w:r>
    </w:p>
    <w:p w14:paraId="06D46AA9">
      <w:pPr>
        <w:keepNext w:val="0"/>
        <w:keepLines w:val="0"/>
        <w:pageBreakBefore w:val="0"/>
        <w:widowControl w:val="0"/>
        <w:numPr>
          <w:ilvl w:val="0"/>
          <w:numId w:val="3"/>
        </w:numPr>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color w:val="auto"/>
          <w:sz w:val="30"/>
          <w:szCs w:val="30"/>
        </w:rPr>
      </w:pPr>
      <w:bookmarkStart w:id="126" w:name="_Toc2492_WPSOffice_Level2"/>
      <w:bookmarkStart w:id="127" w:name="_Toc26115_WPSOffice_Level2"/>
      <w:bookmarkStart w:id="128" w:name="_Toc2136"/>
      <w:r>
        <w:rPr>
          <w:rFonts w:hint="eastAsia" w:ascii="仿宋" w:hAnsi="仿宋" w:eastAsia="仿宋" w:cs="仿宋"/>
          <w:b/>
          <w:color w:val="auto"/>
          <w:sz w:val="30"/>
          <w:szCs w:val="30"/>
        </w:rPr>
        <w:t>评审方法</w:t>
      </w:r>
      <w:bookmarkEnd w:id="126"/>
      <w:bookmarkEnd w:id="127"/>
      <w:bookmarkEnd w:id="128"/>
    </w:p>
    <w:p w14:paraId="68D81221">
      <w:pPr>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本项目评审方法</w:t>
      </w:r>
    </w:p>
    <w:p w14:paraId="2FD19BC9">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最低评标价法</w:t>
      </w:r>
      <w:r>
        <w:rPr>
          <w:rFonts w:hint="eastAsia" w:ascii="仿宋" w:hAnsi="仿宋" w:eastAsia="仿宋" w:cs="仿宋"/>
          <w:b/>
          <w:color w:val="auto"/>
          <w:sz w:val="24"/>
          <w:lang w:eastAsia="zh-CN"/>
        </w:rPr>
        <w:t>：</w:t>
      </w:r>
      <w:r>
        <w:rPr>
          <w:rFonts w:hint="eastAsia" w:ascii="仿宋" w:hAnsi="仿宋" w:eastAsia="仿宋" w:cs="仿宋"/>
          <w:bCs/>
          <w:color w:val="auto"/>
          <w:sz w:val="24"/>
        </w:rPr>
        <w:t>最低评标价法是指响应文件满足竞争性谈判文件全部实质性要求且报价最低的供应商为成交供应商的评审方法。</w:t>
      </w:r>
      <w:r>
        <w:rPr>
          <w:rFonts w:hint="eastAsia" w:ascii="仿宋" w:hAnsi="仿宋" w:eastAsia="仿宋" w:cs="仿宋"/>
          <w:color w:val="auto"/>
          <w:sz w:val="24"/>
        </w:rPr>
        <w:t>最低报价相同的，以抽签方式确定成交供应商；抽签顺序为供应商签到顺序。</w:t>
      </w:r>
    </w:p>
    <w:p w14:paraId="5F2CDC2E">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三、谈判程序</w:t>
      </w:r>
    </w:p>
    <w:p w14:paraId="01C82EA8">
      <w:pPr>
        <w:keepNext w:val="0"/>
        <w:spacing w:line="360" w:lineRule="auto"/>
        <w:ind w:firstLine="482" w:firstLineChars="200"/>
        <w:outlineLvl w:val="9"/>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审查谈判文件和停止评审</w:t>
      </w:r>
    </w:p>
    <w:p w14:paraId="4ECD0515">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1</w:t>
      </w:r>
      <w:r>
        <w:rPr>
          <w:rFonts w:hint="eastAsia" w:ascii="仿宋" w:hAnsi="仿宋" w:eastAsia="仿宋" w:cs="仿宋"/>
          <w:b w:val="0"/>
          <w:color w:val="auto"/>
          <w:sz w:val="24"/>
        </w:rPr>
        <w:t>谈判小组正式评审前，应当对谈判文件进行熟悉和理解，内容主要包括谈判文件中供应商资格条件要求、采购项目技术、服务和商务要求、谈判办法和标准、采购政策要求以及采购合同主要条款等。</w:t>
      </w:r>
    </w:p>
    <w:p w14:paraId="3D0ABB3B">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2</w:t>
      </w:r>
      <w:r>
        <w:rPr>
          <w:rFonts w:hint="eastAsia" w:ascii="仿宋" w:hAnsi="仿宋" w:eastAsia="仿宋" w:cs="仿宋"/>
          <w:b w:val="0"/>
          <w:color w:val="auto"/>
          <w:sz w:val="24"/>
        </w:rPr>
        <w:t>本谈判文件有下列情形之一的，谈判小组应当停止评审：</w:t>
      </w:r>
    </w:p>
    <w:p w14:paraId="3F24FB9F">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）谈判文件的规定存在歧义、重大缺陷，导致评审无法进行的；</w:t>
      </w:r>
    </w:p>
    <w:p w14:paraId="57308798">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）谈判文件明显以不合理条件对供应商实行差别待遇或者歧视待遇的；</w:t>
      </w:r>
    </w:p>
    <w:p w14:paraId="7B5E7D60">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）采购项目属于国家规定的优先、强制采购范围，但是谈判文件未依法体现优先、强制采购相关规定的；</w:t>
      </w:r>
    </w:p>
    <w:p w14:paraId="48504634">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）采购项目属于政府采购促进中小企业发展的范围，但是谈判文件未依法体现促进中小企业发展相关规定的；</w:t>
      </w:r>
    </w:p>
    <w:p w14:paraId="350A49E8">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）谈判文件载明的成交原则不合法的；</w:t>
      </w:r>
    </w:p>
    <w:p w14:paraId="333FEB2E">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6</w:t>
      </w:r>
      <w:r>
        <w:rPr>
          <w:rFonts w:hint="eastAsia" w:ascii="仿宋" w:hAnsi="仿宋" w:eastAsia="仿宋" w:cs="仿宋"/>
          <w:b w:val="0"/>
          <w:color w:val="auto"/>
          <w:sz w:val="24"/>
        </w:rPr>
        <w:t>）谈判文件有违反国家其他有关强制性规定的情形。</w:t>
      </w:r>
    </w:p>
    <w:p w14:paraId="0175C917">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.3</w:t>
      </w:r>
      <w:r>
        <w:rPr>
          <w:rFonts w:hint="eastAsia" w:ascii="仿宋" w:hAnsi="仿宋" w:eastAsia="仿宋" w:cs="仿宋"/>
          <w:color w:val="auto"/>
          <w:sz w:val="24"/>
        </w:rPr>
        <w:t>出现本</w:t>
      </w:r>
      <w:r>
        <w:rPr>
          <w:rFonts w:hint="eastAsia" w:ascii="仿宋" w:hAnsi="仿宋" w:eastAsia="仿宋" w:cs="仿宋"/>
          <w:color w:val="auto"/>
          <w:sz w:val="24"/>
          <w:lang w:eastAsia="zh-CN"/>
        </w:rPr>
        <w:t>章</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规定应当停止评审情形的，谈判小组应当向采购组织单位书面书面说明情况。除</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规定的情形外，谈判小组不得以任何方式和理由停止评审。</w:t>
      </w:r>
    </w:p>
    <w:p w14:paraId="7BB43E0F">
      <w:pPr>
        <w:pStyle w:val="2"/>
        <w:spacing w:line="360" w:lineRule="auto"/>
        <w:rPr>
          <w:rFonts w:hint="eastAsia" w:ascii="仿宋" w:hAnsi="仿宋" w:eastAsia="仿宋" w:cs="仿宋"/>
          <w:color w:val="auto"/>
        </w:rPr>
      </w:pPr>
    </w:p>
    <w:p w14:paraId="4ADA9B3A">
      <w:pPr>
        <w:widowControl/>
        <w:spacing w:line="360" w:lineRule="auto"/>
        <w:ind w:firstLine="482" w:firstLineChars="200"/>
        <w:jc w:val="left"/>
        <w:rPr>
          <w:rFonts w:hint="eastAsia" w:ascii="仿宋" w:hAnsi="仿宋" w:eastAsia="仿宋" w:cs="仿宋"/>
          <w:color w:val="auto"/>
        </w:rPr>
      </w:pPr>
      <w:r>
        <w:rPr>
          <w:rFonts w:hint="eastAsia" w:ascii="仿宋" w:hAnsi="仿宋" w:eastAsia="仿宋" w:cs="仿宋"/>
          <w:b/>
          <w:color w:val="auto"/>
          <w:kern w:val="0"/>
          <w:sz w:val="24"/>
          <w:lang w:val="en-US" w:eastAsia="zh-CN"/>
        </w:rPr>
        <w:t>9.</w:t>
      </w:r>
      <w:r>
        <w:rPr>
          <w:rFonts w:ascii="仿宋" w:hAnsi="仿宋" w:eastAsia="仿宋" w:cs="仿宋"/>
          <w:b/>
          <w:color w:val="auto"/>
          <w:kern w:val="0"/>
          <w:sz w:val="24"/>
        </w:rPr>
        <w:t>资格性审查</w:t>
      </w:r>
    </w:p>
    <w:p w14:paraId="3CC89522">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14:paraId="1BCD0686">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.2资格性审查结束后，评审小组应当出具资格性审查报告，没有通过资格审查的供应商，评审小组应当在资格审查报告中说明原因。</w:t>
      </w:r>
    </w:p>
    <w:p w14:paraId="6135F259">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.3评审小组应依据谈判文件规定的实质性要求，对符合资格的响应文件进行有效性、完整性和响应程度审查，以确定参加谈判的供应商名单。</w:t>
      </w:r>
    </w:p>
    <w:p w14:paraId="376BE6D4">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.4采购人或者采购代理机构宣布未通过资格性审查的供应商名单时，应当告知供应商未通过审查的原因。 </w:t>
      </w:r>
    </w:p>
    <w:p w14:paraId="35828FDD">
      <w:pPr>
        <w:pStyle w:val="2"/>
        <w:spacing w:line="360" w:lineRule="auto"/>
        <w:rPr>
          <w:rFonts w:hint="eastAsia" w:ascii="仿宋" w:hAnsi="仿宋" w:eastAsia="仿宋" w:cs="仿宋"/>
          <w:color w:val="auto"/>
        </w:rPr>
      </w:pPr>
    </w:p>
    <w:p w14:paraId="6F9C5854">
      <w:pPr>
        <w:keepNext w:val="0"/>
        <w:spacing w:line="360" w:lineRule="auto"/>
        <w:ind w:firstLine="482" w:firstLineChars="200"/>
        <w:outlineLvl w:val="9"/>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10.</w:t>
      </w:r>
      <w:r>
        <w:rPr>
          <w:rFonts w:hint="eastAsia" w:ascii="仿宋" w:hAnsi="仿宋" w:eastAsia="仿宋" w:cs="仿宋"/>
          <w:b/>
          <w:bCs w:val="0"/>
          <w:color w:val="auto"/>
          <w:sz w:val="24"/>
        </w:rPr>
        <w:t>谈判</w:t>
      </w:r>
    </w:p>
    <w:p w14:paraId="0A5FAC5B">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.1</w:t>
      </w:r>
      <w:r>
        <w:rPr>
          <w:rFonts w:hint="eastAsia" w:ascii="仿宋" w:hAnsi="仿宋" w:eastAsia="仿宋" w:cs="仿宋"/>
          <w:b w:val="0"/>
          <w:color w:val="auto"/>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14:paraId="02D3B5D6">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.2</w:t>
      </w:r>
      <w:r>
        <w:rPr>
          <w:rFonts w:hint="eastAsia" w:ascii="仿宋" w:hAnsi="仿宋" w:eastAsia="仿宋" w:cs="仿宋"/>
          <w:b w:val="0"/>
          <w:color w:val="auto"/>
          <w:sz w:val="24"/>
        </w:rPr>
        <w:t>每轮谈判开始前，谈判小组应根据谈判文件的规定，并结合各供应商的响应文件拟定谈判内容。</w:t>
      </w:r>
    </w:p>
    <w:p w14:paraId="075DE799">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.3</w:t>
      </w:r>
      <w:r>
        <w:rPr>
          <w:rFonts w:hint="eastAsia" w:ascii="仿宋" w:hAnsi="仿宋" w:eastAsia="仿宋" w:cs="仿宋"/>
          <w:b w:val="0"/>
          <w:color w:val="auto"/>
          <w:sz w:val="24"/>
        </w:rPr>
        <w:t>在谈判过程中，谈判小组可以根据谈判文件和谈判情况实质性变动谈判文件的技术、服务要求以及合同草案条款，但不得变动谈判文件中的其他内容。实质性变动的内容，须经采购人代表书面确认。</w:t>
      </w:r>
    </w:p>
    <w:p w14:paraId="0D5FBA22">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.4</w:t>
      </w:r>
      <w:r>
        <w:rPr>
          <w:rFonts w:hint="eastAsia" w:ascii="仿宋" w:hAnsi="仿宋" w:eastAsia="仿宋" w:cs="仿宋"/>
          <w:b w:val="0"/>
          <w:color w:val="auto"/>
          <w:sz w:val="24"/>
        </w:rPr>
        <w:t>对谈判文件作出的实质性变动是谈判文件的有效组成部分，谈判小组应当及时以书面形式同时通知所有参加谈判的供应商。</w:t>
      </w:r>
    </w:p>
    <w:p w14:paraId="7137004C">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.5</w:t>
      </w:r>
      <w:r>
        <w:rPr>
          <w:rFonts w:hint="eastAsia" w:ascii="仿宋" w:hAnsi="仿宋" w:eastAsia="仿宋" w:cs="仿宋"/>
          <w:b w:val="0"/>
          <w:color w:val="auto"/>
          <w:sz w:val="24"/>
        </w:rPr>
        <w:t>谈判过程中，谈判文件变动的，供应商应当按照谈判文件的变动情况和谈判小组的要求重新提交响应文件，并由其法定代表人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主要负责人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14:paraId="55C42159">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14:paraId="6AA0300E">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14:paraId="6BD14CF5">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14:paraId="60E50924">
      <w:pPr>
        <w:widowControl/>
        <w:spacing w:line="360" w:lineRule="auto"/>
        <w:ind w:firstLine="480" w:firstLineChars="200"/>
        <w:jc w:val="left"/>
        <w:rPr>
          <w:rFonts w:hint="eastAsia" w:ascii="仿宋" w:hAnsi="仿宋" w:eastAsia="仿宋" w:cs="仿宋"/>
          <w:color w:val="auto"/>
        </w:rPr>
      </w:pPr>
      <w:r>
        <w:rPr>
          <w:rFonts w:ascii="仿宋" w:hAnsi="仿宋" w:eastAsia="仿宋" w:cs="仿宋"/>
          <w:color w:val="auto"/>
          <w:kern w:val="0"/>
          <w:sz w:val="24"/>
        </w:rPr>
        <w:t>（</w:t>
      </w:r>
      <w:r>
        <w:rPr>
          <w:rFonts w:hint="eastAsia" w:ascii="仿宋" w:hAnsi="仿宋" w:eastAsia="仿宋" w:cs="仿宋"/>
          <w:color w:val="auto"/>
          <w:kern w:val="0"/>
          <w:sz w:val="24"/>
        </w:rPr>
        <w:t>2</w:t>
      </w:r>
      <w:r>
        <w:rPr>
          <w:rFonts w:ascii="仿宋" w:hAnsi="仿宋" w:eastAsia="仿宋" w:cs="仿宋"/>
          <w:color w:val="auto"/>
          <w:kern w:val="0"/>
          <w:sz w:val="24"/>
        </w:rPr>
        <w:t xml:space="preserve">）响应文件正副本数量不足的； </w:t>
      </w:r>
    </w:p>
    <w:p w14:paraId="1F09F34D">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rPr>
        <w:t xml:space="preserve">（3）响应文件组成明显不符合采购文件的规定要求，影响评审委员会评判的； </w:t>
      </w:r>
    </w:p>
    <w:p w14:paraId="1CFCF774">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ascii="仿宋" w:hAnsi="仿宋" w:eastAsia="仿宋" w:cs="仿宋"/>
          <w:color w:val="auto"/>
          <w:kern w:val="0"/>
          <w:sz w:val="24"/>
        </w:rPr>
        <w:t>属于竞争性</w:t>
      </w:r>
      <w:r>
        <w:rPr>
          <w:rFonts w:hint="eastAsia" w:ascii="仿宋" w:hAnsi="仿宋" w:eastAsia="仿宋" w:cs="仿宋"/>
          <w:color w:val="auto"/>
          <w:kern w:val="0"/>
          <w:sz w:val="24"/>
        </w:rPr>
        <w:t>谈判</w:t>
      </w:r>
      <w:r>
        <w:rPr>
          <w:rFonts w:ascii="仿宋" w:hAnsi="仿宋" w:eastAsia="仿宋" w:cs="仿宋"/>
          <w:color w:val="auto"/>
          <w:kern w:val="0"/>
          <w:sz w:val="24"/>
        </w:rPr>
        <w:t>文件中无效响应情形的。</w:t>
      </w:r>
    </w:p>
    <w:p w14:paraId="6ACA3204">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14:paraId="3188BD37">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响应文件仍不能完全响应采购文件的实质性要求的；</w:t>
      </w:r>
    </w:p>
    <w:p w14:paraId="432564FC">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）响应文件仍中有规定的其他无效响应情形的。</w:t>
      </w:r>
    </w:p>
    <w:p w14:paraId="08084326">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14:paraId="20197149">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个）没有法定代表人（单位负责人）签字，但有法定代表人（单位负责人）的私人印章或者有效授权代理人签字的；</w:t>
      </w:r>
    </w:p>
    <w:p w14:paraId="62899C29">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14:paraId="14B14A43">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14:paraId="5C9410F9">
      <w:pPr>
        <w:pStyle w:val="14"/>
        <w:snapToGrid w:val="0"/>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14:paraId="2895275F">
      <w:pPr>
        <w:keepNext w:val="0"/>
        <w:spacing w:line="360" w:lineRule="auto"/>
        <w:ind w:firstLine="480" w:firstLineChars="200"/>
        <w:outlineLvl w:val="9"/>
        <w:rPr>
          <w:rFonts w:hint="eastAsia" w:ascii="仿宋" w:hAnsi="仿宋" w:eastAsia="仿宋" w:cs="仿宋"/>
          <w:b w:val="0"/>
          <w:color w:val="auto"/>
          <w:sz w:val="24"/>
        </w:rPr>
      </w:pPr>
      <w:r>
        <w:rPr>
          <w:rFonts w:hint="default" w:ascii="仿宋" w:hAnsi="仿宋" w:eastAsia="仿宋" w:cs="仿宋"/>
          <w:b w:val="0"/>
          <w:color w:val="auto"/>
          <w:sz w:val="24"/>
          <w:szCs w:val="24"/>
          <w:lang w:eastAsia="zh-CN"/>
        </w:rPr>
        <w:t>1</w:t>
      </w:r>
      <w:r>
        <w:rPr>
          <w:rFonts w:hint="default" w:ascii="仿宋" w:hAnsi="仿宋" w:eastAsia="仿宋" w:cs="仿宋"/>
          <w:b w:val="0"/>
          <w:color w:val="auto"/>
          <w:sz w:val="24"/>
          <w:szCs w:val="24"/>
          <w:lang w:val="en-US" w:eastAsia="zh-CN"/>
        </w:rPr>
        <w:t>0</w:t>
      </w:r>
      <w:r>
        <w:rPr>
          <w:rFonts w:ascii="仿宋" w:hAnsi="仿宋" w:eastAsia="仿宋" w:cs="仿宋"/>
          <w:b w:val="0"/>
          <w:color w:val="auto"/>
          <w:sz w:val="24"/>
        </w:rPr>
        <w:t>.7</w:t>
      </w:r>
      <w:r>
        <w:rPr>
          <w:rFonts w:hint="eastAsia" w:ascii="仿宋" w:hAnsi="仿宋" w:eastAsia="仿宋" w:cs="仿宋"/>
          <w:b w:val="0"/>
          <w:color w:val="auto"/>
          <w:sz w:val="24"/>
        </w:rPr>
        <w:t>谈判过程中，谈判的任何一方不得透露与谈判有关的其他供应商的技术资料、价格和其他信息。</w:t>
      </w:r>
    </w:p>
    <w:p w14:paraId="4141EAB9">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.8</w:t>
      </w:r>
      <w:r>
        <w:rPr>
          <w:rFonts w:hint="eastAsia" w:ascii="仿宋" w:hAnsi="仿宋" w:eastAsia="仿宋" w:cs="仿宋"/>
          <w:b w:val="0"/>
          <w:color w:val="auto"/>
          <w:sz w:val="24"/>
        </w:rPr>
        <w:t>谈判过程中，谈判小组发现或者知晓供应商存在违法、违纪行为的，谈判小组应当将该供应商响应文件作无效处理，不允许其提交最后报价。</w:t>
      </w:r>
    </w:p>
    <w:p w14:paraId="3F381534">
      <w:pPr>
        <w:keepNext w:val="0"/>
        <w:spacing w:line="360" w:lineRule="auto"/>
        <w:ind w:firstLine="480" w:firstLineChars="200"/>
        <w:outlineLvl w:val="9"/>
        <w:rPr>
          <w:rFonts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.9</w:t>
      </w:r>
      <w:r>
        <w:rPr>
          <w:rFonts w:hint="eastAsia" w:ascii="仿宋" w:hAnsi="仿宋" w:eastAsia="仿宋" w:cs="仿宋"/>
          <w:b w:val="0"/>
          <w:color w:val="auto"/>
          <w:sz w:val="24"/>
        </w:rPr>
        <w:t>谈判完成后，谈判小组应出具谈判情况记录表，谈判情况记录表需包含谈判内容、谈判意见、实质性变动内容等。</w:t>
      </w:r>
    </w:p>
    <w:p w14:paraId="7A110E95">
      <w:pPr>
        <w:spacing w:line="360" w:lineRule="auto"/>
        <w:rPr>
          <w:rFonts w:hint="eastAsia" w:ascii="仿宋" w:hAnsi="仿宋" w:eastAsia="仿宋" w:cs="仿宋"/>
          <w:color w:val="auto"/>
        </w:rPr>
      </w:pPr>
    </w:p>
    <w:p w14:paraId="18FB2CA5">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报价</w:t>
      </w:r>
    </w:p>
    <w:p w14:paraId="66985E6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en-US" w:eastAsia="zh-CN"/>
        </w:rPr>
        <w:t>11</w:t>
      </w:r>
      <w:r>
        <w:rPr>
          <w:rFonts w:ascii="仿宋" w:hAnsi="仿宋" w:eastAsia="仿宋" w:cs="仿宋"/>
          <w:color w:val="auto"/>
          <w:sz w:val="24"/>
        </w:rPr>
        <w:t>.1</w:t>
      </w:r>
      <w:r>
        <w:rPr>
          <w:rFonts w:hint="eastAsia" w:ascii="仿宋" w:hAnsi="仿宋" w:eastAsia="仿宋" w:cs="仿宋"/>
          <w:color w:val="auto"/>
          <w:sz w:val="24"/>
        </w:rPr>
        <w:t>除</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报价以外，供应商报价采用现场报价。现场报价前，谈判小组应对供应商</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报价进行评审。</w:t>
      </w:r>
    </w:p>
    <w:p w14:paraId="0A287FA3">
      <w:pPr>
        <w:widowControl/>
        <w:spacing w:line="360" w:lineRule="auto"/>
        <w:ind w:firstLine="480" w:firstLineChars="200"/>
        <w:jc w:val="left"/>
        <w:rPr>
          <w:rFonts w:hint="eastAsia" w:ascii="仿宋" w:hAnsi="仿宋" w:eastAsia="仿宋" w:cs="仿宋"/>
          <w:color w:val="auto"/>
        </w:rPr>
      </w:pPr>
      <w:r>
        <w:rPr>
          <w:rFonts w:hint="eastAsia" w:ascii="仿宋" w:hAnsi="仿宋" w:eastAsia="仿宋" w:cs="仿宋"/>
          <w:color w:val="auto"/>
          <w:kern w:val="0"/>
          <w:sz w:val="24"/>
        </w:rPr>
        <w:t>（1）</w:t>
      </w:r>
      <w:r>
        <w:rPr>
          <w:rFonts w:ascii="仿宋" w:hAnsi="仿宋" w:eastAsia="仿宋" w:cs="仿宋"/>
          <w:color w:val="auto"/>
          <w:kern w:val="0"/>
          <w:sz w:val="24"/>
        </w:rPr>
        <w:t>报价超过竞争性</w:t>
      </w:r>
      <w:r>
        <w:rPr>
          <w:rFonts w:hint="eastAsia" w:ascii="仿宋" w:hAnsi="仿宋" w:eastAsia="仿宋" w:cs="仿宋"/>
          <w:color w:val="auto"/>
          <w:kern w:val="0"/>
          <w:sz w:val="24"/>
        </w:rPr>
        <w:t>谈判</w:t>
      </w:r>
      <w:r>
        <w:rPr>
          <w:rFonts w:ascii="仿宋" w:hAnsi="仿宋" w:eastAsia="仿宋" w:cs="仿宋"/>
          <w:color w:val="auto"/>
          <w:kern w:val="0"/>
          <w:sz w:val="24"/>
        </w:rPr>
        <w:t>文件规定的采购预算（或最高限价）或者相关报价不符</w:t>
      </w:r>
      <w:r>
        <w:rPr>
          <w:rFonts w:hint="eastAsia" w:ascii="仿宋" w:hAnsi="仿宋" w:eastAsia="仿宋" w:cs="仿宋"/>
          <w:color w:val="auto"/>
          <w:kern w:val="0"/>
          <w:sz w:val="24"/>
        </w:rPr>
        <w:t>合采购文件其他的报价规定的，应按照无效响应文件处理。</w:t>
      </w:r>
    </w:p>
    <w:p w14:paraId="7C24384E">
      <w:pPr>
        <w:pStyle w:val="14"/>
        <w:snapToGrid w:val="0"/>
        <w:spacing w:line="360" w:lineRule="auto"/>
        <w:ind w:firstLine="480" w:firstLineChars="2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）谈判小组对供应商已标价的项目单价进行评审，对明显不合理的单价（如明显偏高或偏低）项目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14:paraId="215A6D8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.2</w:t>
      </w:r>
      <w:r>
        <w:rPr>
          <w:rFonts w:hint="eastAsia" w:ascii="仿宋" w:hAnsi="仿宋" w:eastAsia="仿宋" w:cs="仿宋"/>
          <w:color w:val="auto"/>
          <w:sz w:val="24"/>
        </w:rPr>
        <w:t>谈判</w:t>
      </w:r>
      <w:r>
        <w:rPr>
          <w:rFonts w:ascii="仿宋" w:hAnsi="仿宋" w:eastAsia="仿宋" w:cs="仿宋"/>
          <w:color w:val="auto"/>
          <w:kern w:val="0"/>
          <w:sz w:val="24"/>
        </w:rPr>
        <w:t>文件能够详细列明采购标的的技术、服务要求的，</w:t>
      </w:r>
      <w:r>
        <w:rPr>
          <w:rFonts w:hint="eastAsia" w:ascii="仿宋" w:hAnsi="仿宋" w:eastAsia="仿宋" w:cs="仿宋"/>
          <w:color w:val="auto"/>
          <w:kern w:val="0"/>
          <w:sz w:val="24"/>
        </w:rPr>
        <w:t>谈判</w:t>
      </w:r>
      <w:r>
        <w:rPr>
          <w:rFonts w:ascii="仿宋" w:hAnsi="仿宋" w:eastAsia="仿宋" w:cs="仿宋"/>
          <w:color w:val="auto"/>
          <w:kern w:val="0"/>
          <w:sz w:val="24"/>
        </w:rPr>
        <w:t>结束后，</w:t>
      </w:r>
      <w:r>
        <w:rPr>
          <w:rFonts w:hint="eastAsia" w:ascii="仿宋" w:hAnsi="仿宋" w:eastAsia="仿宋" w:cs="仿宋"/>
          <w:color w:val="auto"/>
          <w:sz w:val="24"/>
        </w:rPr>
        <w:t>谈判小组应当要求所有实质性响应的供应商在规定时间内提交最后报价或者多轮报价后再最后报价，提交最后报价的供应商不得少于</w:t>
      </w:r>
      <w:r>
        <w:rPr>
          <w:rFonts w:ascii="仿宋" w:hAnsi="仿宋" w:eastAsia="仿宋" w:cs="仿宋"/>
          <w:color w:val="auto"/>
          <w:sz w:val="24"/>
        </w:rPr>
        <w:t>3</w:t>
      </w:r>
      <w:r>
        <w:rPr>
          <w:rFonts w:hint="eastAsia" w:ascii="仿宋" w:hAnsi="仿宋" w:eastAsia="仿宋" w:cs="仿宋"/>
          <w:color w:val="auto"/>
          <w:sz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14:paraId="3905E0A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.3</w:t>
      </w:r>
      <w:r>
        <w:rPr>
          <w:rFonts w:hint="eastAsia" w:ascii="仿宋" w:hAnsi="仿宋" w:eastAsia="仿宋" w:cs="仿宋"/>
          <w:color w:val="auto"/>
          <w:sz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3B4DAF4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.4</w:t>
      </w:r>
      <w:r>
        <w:rPr>
          <w:rFonts w:hint="eastAsia" w:ascii="仿宋" w:hAnsi="仿宋" w:eastAsia="仿宋" w:cs="仿宋"/>
          <w:color w:val="auto"/>
          <w:sz w:val="24"/>
        </w:rPr>
        <w:t>供应商报价应当由法定代表人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14:paraId="18624D0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.5</w:t>
      </w:r>
      <w:r>
        <w:rPr>
          <w:rFonts w:hint="eastAsia" w:ascii="仿宋" w:hAnsi="仿宋" w:eastAsia="仿宋" w:cs="仿宋"/>
          <w:color w:val="auto"/>
          <w:sz w:val="24"/>
        </w:rPr>
        <w:t>采购人在谈判文件中直接确定了采购项目采购价格的，供应商的报价应当按照谈判文件中确定了的采购项目采购价格进行报价，不得增加或者减少，否则其报价无效，其响应文件将作为无效处理。</w:t>
      </w:r>
    </w:p>
    <w:p w14:paraId="519AFF4E">
      <w:pPr>
        <w:pStyle w:val="2"/>
        <w:spacing w:line="360" w:lineRule="auto"/>
        <w:rPr>
          <w:rFonts w:hint="eastAsia" w:ascii="仿宋" w:hAnsi="仿宋" w:eastAsia="仿宋" w:cs="仿宋"/>
          <w:color w:val="auto"/>
        </w:rPr>
      </w:pPr>
    </w:p>
    <w:p w14:paraId="21FBB7FE">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谈判小组复核</w:t>
      </w:r>
    </w:p>
    <w:p w14:paraId="20152E1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供应商最后报价结束后，谈判小组应当进行评审复核，对拟推荐为成交候选供应商的、报价最低的、</w:t>
      </w:r>
      <w:r>
        <w:rPr>
          <w:rFonts w:hint="eastAsia" w:ascii="仿宋" w:hAnsi="仿宋" w:eastAsia="仿宋" w:cs="仿宋"/>
          <w:bCs/>
          <w:color w:val="auto"/>
          <w:sz w:val="24"/>
        </w:rPr>
        <w:t>供应商资格审查未通过的、</w:t>
      </w:r>
      <w:r>
        <w:rPr>
          <w:rFonts w:hint="eastAsia" w:ascii="仿宋" w:hAnsi="仿宋" w:eastAsia="仿宋" w:cs="仿宋"/>
          <w:color w:val="auto"/>
          <w:sz w:val="24"/>
        </w:rPr>
        <w:t>供应商响应文件作无效处理的重点复核。</w:t>
      </w:r>
    </w:p>
    <w:p w14:paraId="488E02EA">
      <w:pPr>
        <w:pStyle w:val="2"/>
        <w:spacing w:line="360" w:lineRule="auto"/>
        <w:rPr>
          <w:rFonts w:hint="eastAsia" w:ascii="仿宋" w:hAnsi="仿宋" w:eastAsia="仿宋" w:cs="仿宋"/>
          <w:color w:val="auto"/>
        </w:rPr>
      </w:pPr>
    </w:p>
    <w:p w14:paraId="321D43CB">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推荐成交候选供应商</w:t>
      </w:r>
    </w:p>
    <w:p w14:paraId="7C09F42C">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谈判小组应当根据报价低到高顺序推荐</w:t>
      </w:r>
      <w:r>
        <w:rPr>
          <w:rFonts w:ascii="仿宋" w:hAnsi="仿宋" w:eastAsia="仿宋" w:cs="仿宋"/>
          <w:color w:val="auto"/>
          <w:sz w:val="24"/>
        </w:rPr>
        <w:t>3</w:t>
      </w:r>
      <w:r>
        <w:rPr>
          <w:rFonts w:hint="eastAsia" w:ascii="仿宋" w:hAnsi="仿宋" w:eastAsia="仿宋" w:cs="仿宋"/>
          <w:color w:val="auto"/>
          <w:sz w:val="24"/>
        </w:rPr>
        <w:t>家以上成交候选供应商，并编写</w:t>
      </w:r>
      <w:r>
        <w:rPr>
          <w:rFonts w:hint="eastAsia" w:ascii="仿宋" w:hAnsi="仿宋" w:eastAsia="仿宋" w:cs="仿宋"/>
          <w:color w:val="auto"/>
          <w:sz w:val="24"/>
          <w:lang w:eastAsia="zh-CN"/>
        </w:rPr>
        <w:t>评审报告</w:t>
      </w:r>
      <w:r>
        <w:rPr>
          <w:rFonts w:hint="eastAsia" w:ascii="仿宋" w:hAnsi="仿宋" w:eastAsia="仿宋" w:cs="仿宋"/>
          <w:color w:val="auto"/>
          <w:sz w:val="24"/>
        </w:rPr>
        <w:t>。最后报价相同的，成交候选供应商并列，由采购人随机抽签确定成交供应商。</w:t>
      </w:r>
    </w:p>
    <w:p w14:paraId="2975F65B">
      <w:pPr>
        <w:pStyle w:val="2"/>
        <w:spacing w:line="360" w:lineRule="auto"/>
        <w:rPr>
          <w:rFonts w:hint="eastAsia" w:ascii="仿宋" w:hAnsi="仿宋" w:eastAsia="仿宋" w:cs="仿宋"/>
          <w:color w:val="auto"/>
        </w:rPr>
      </w:pPr>
    </w:p>
    <w:p w14:paraId="72D8FFE6">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编写</w:t>
      </w:r>
      <w:r>
        <w:rPr>
          <w:rFonts w:hint="eastAsia" w:ascii="仿宋" w:hAnsi="仿宋" w:eastAsia="仿宋" w:cs="仿宋"/>
          <w:b/>
          <w:bCs/>
          <w:color w:val="auto"/>
          <w:sz w:val="24"/>
          <w:lang w:eastAsia="zh-CN"/>
        </w:rPr>
        <w:t>评审</w:t>
      </w:r>
      <w:r>
        <w:rPr>
          <w:rFonts w:hint="eastAsia" w:ascii="仿宋" w:hAnsi="仿宋" w:eastAsia="仿宋" w:cs="仿宋"/>
          <w:b/>
          <w:bCs/>
          <w:color w:val="auto"/>
          <w:sz w:val="24"/>
        </w:rPr>
        <w:t>报告</w:t>
      </w:r>
    </w:p>
    <w:p w14:paraId="763F9F9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谈判小组推荐成交候选供应商后，应向采购代理机构出具</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r>
        <w:rPr>
          <w:rFonts w:hint="eastAsia" w:ascii="仿宋" w:hAnsi="仿宋" w:eastAsia="仿宋" w:cs="仿宋"/>
          <w:color w:val="auto"/>
          <w:sz w:val="24"/>
          <w:lang w:eastAsia="zh-CN"/>
        </w:rPr>
        <w:t>评审报告</w:t>
      </w:r>
      <w:r>
        <w:rPr>
          <w:rFonts w:hint="eastAsia" w:ascii="仿宋" w:hAnsi="仿宋" w:eastAsia="仿宋" w:cs="仿宋"/>
          <w:color w:val="auto"/>
          <w:sz w:val="24"/>
        </w:rPr>
        <w:t>应当包括以下主要内容：</w:t>
      </w:r>
    </w:p>
    <w:p w14:paraId="3AE073B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）邀请供应商参加采购活动的具体方式和相关情况；</w:t>
      </w:r>
    </w:p>
    <w:p w14:paraId="575A6EF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）响应文件开启日期和地点；</w:t>
      </w:r>
    </w:p>
    <w:p w14:paraId="4FC02280">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）获取谈判文件的供应商名单和谈判小组成员名单；</w:t>
      </w:r>
    </w:p>
    <w:p w14:paraId="25F85E3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）评审情况记录和说明，包括对供应商的资格审查情况、供应商响应文件审查情况、谈判情况、报价情况等；</w:t>
      </w:r>
    </w:p>
    <w:p w14:paraId="2EC2AC6B">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）提出的成交候选供应商的排序名单及理由。</w:t>
      </w:r>
    </w:p>
    <w:p w14:paraId="0CA9AEE3">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评审报告</w:t>
      </w:r>
      <w:r>
        <w:rPr>
          <w:rFonts w:hint="eastAsia" w:ascii="仿宋" w:hAnsi="仿宋" w:eastAsia="仿宋" w:cs="仿宋"/>
          <w:color w:val="auto"/>
          <w:sz w:val="24"/>
        </w:rPr>
        <w:t>应当由谈判小组全体人员签字认可。谈判小组成员对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有异议的，谈判小组按照少数服从多数的原则推荐成交候选供应商，采购程序继续进行。对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有异议的谈判小组成员，应当在报告上签署不同意见并说明理由，由谈判小组书面记录相关情况。谈判小组成员拒绝在报告上签字又不书面说明其不同意见和理由的，视为同意</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p>
    <w:p w14:paraId="19443116">
      <w:pPr>
        <w:spacing w:line="360" w:lineRule="auto"/>
        <w:ind w:firstLine="480" w:firstLineChars="200"/>
        <w:rPr>
          <w:rFonts w:ascii="仿宋" w:hAnsi="仿宋" w:eastAsia="仿宋" w:cs="仿宋"/>
          <w:color w:val="auto"/>
          <w:sz w:val="24"/>
        </w:rPr>
      </w:pPr>
    </w:p>
    <w:p w14:paraId="4F8C254F">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谈判异议处理规则</w:t>
      </w:r>
    </w:p>
    <w:p w14:paraId="7DE06AD1">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在谈判过程中，谈判小组成员</w:t>
      </w:r>
      <w:r>
        <w:rPr>
          <w:rFonts w:hint="eastAsia" w:ascii="仿宋" w:hAnsi="仿宋" w:eastAsia="仿宋" w:cs="仿宋"/>
          <w:bCs/>
          <w:color w:val="auto"/>
          <w:sz w:val="24"/>
        </w:rPr>
        <w:t>对于资格性审查、</w:t>
      </w:r>
      <w:r>
        <w:rPr>
          <w:rFonts w:hint="eastAsia" w:ascii="仿宋" w:hAnsi="仿宋" w:eastAsia="仿宋" w:cs="仿宋"/>
          <w:color w:val="auto"/>
          <w:sz w:val="24"/>
        </w:rPr>
        <w:t>对响应文件是否符合谈判文件规定存在争议的，应当以少数服从多数的原则处理，但不违背谈判文件规定。有不同意见的谈判小组成员认为认定过程和结果不符合法律法规或者谈判文件规定的，应当在</w:t>
      </w:r>
      <w:r>
        <w:rPr>
          <w:rFonts w:hint="eastAsia" w:ascii="仿宋" w:hAnsi="仿宋" w:eastAsia="仿宋" w:cs="仿宋"/>
          <w:color w:val="auto"/>
          <w:sz w:val="24"/>
          <w:lang w:eastAsia="zh-CN"/>
        </w:rPr>
        <w:t>评审报告</w:t>
      </w:r>
      <w:r>
        <w:rPr>
          <w:rFonts w:hint="eastAsia" w:ascii="仿宋" w:hAnsi="仿宋" w:eastAsia="仿宋" w:cs="仿宋"/>
          <w:color w:val="auto"/>
          <w:sz w:val="24"/>
        </w:rPr>
        <w:t>中予以反映。</w:t>
      </w:r>
    </w:p>
    <w:p w14:paraId="41BC9C7F">
      <w:pPr>
        <w:pStyle w:val="2"/>
        <w:spacing w:line="360" w:lineRule="auto"/>
        <w:rPr>
          <w:rFonts w:hint="eastAsia" w:ascii="仿宋" w:hAnsi="仿宋" w:eastAsia="仿宋" w:cs="仿宋"/>
          <w:color w:val="auto"/>
        </w:rPr>
      </w:pPr>
    </w:p>
    <w:p w14:paraId="7E527AF2">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供应商澄清、说明</w:t>
      </w:r>
    </w:p>
    <w:p w14:paraId="48E7A7EE">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.1</w:t>
      </w:r>
      <w:r>
        <w:rPr>
          <w:rFonts w:hint="eastAsia" w:ascii="仿宋" w:hAnsi="仿宋" w:eastAsia="仿宋" w:cs="仿宋"/>
          <w:color w:val="auto"/>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4CF8CD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.2</w:t>
      </w:r>
      <w:r>
        <w:rPr>
          <w:rFonts w:hint="eastAsia" w:ascii="仿宋" w:hAnsi="仿宋" w:eastAsia="仿宋" w:cs="仿宋"/>
          <w:color w:val="auto"/>
          <w:sz w:val="24"/>
        </w:rPr>
        <w:t>谈判小组要求供应商澄清、说明或者更正响应文件应当以书面形式作出。供应商的澄清、说明或者更正应当由法定代表人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w:t>
      </w:r>
      <w:r>
        <w:rPr>
          <w:rFonts w:hint="eastAsia" w:ascii="仿宋" w:hAnsi="仿宋" w:eastAsia="仿宋" w:cs="仿宋"/>
          <w:b/>
          <w:bCs/>
          <w:color w:val="auto"/>
          <w:sz w:val="24"/>
        </w:rPr>
        <w:t>注：</w:t>
      </w:r>
      <w:r>
        <w:rPr>
          <w:rFonts w:hint="eastAsia" w:ascii="仿宋" w:hAnsi="仿宋" w:eastAsia="仿宋" w:cs="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04E26470">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3评审委员会要求供应商澄清、说明或者更正，不得超出谈判竞争性谈判文件的范围，不得以此让供应商实质改变响应文件的内容，不得影响供应商公平竞争。本项目下列内容不得澄清：</w:t>
      </w:r>
    </w:p>
    <w:p w14:paraId="1C57E23A">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（1）应当在评审时不予承认的响应文件内容事项；</w:t>
      </w:r>
    </w:p>
    <w:p w14:paraId="2EEAAB48">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（2）响应文件中已经明确的内容事项；</w:t>
      </w:r>
    </w:p>
    <w:p w14:paraId="319D64E0">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（3）响应文件未提供的材料。</w:t>
      </w:r>
    </w:p>
    <w:p w14:paraId="3F6560F2">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.4本项目采购过程中，响应文件出现下列情况的，不需要供应商澄清、说明或者更正，按照以下原则处理：</w:t>
      </w:r>
    </w:p>
    <w:p w14:paraId="362F01EC">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（1）响应文件的大写金额和小写金额不一致的，以大写金额为准，但大写金额出现文字错误，导致金额无法判断的除外；</w:t>
      </w:r>
    </w:p>
    <w:p w14:paraId="0C2D1048">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（2）总价金额与按单价汇总金额不一致的，以单价汇总金额计算结果为准，但是单价金额出现计算错误、明显人为工作失误的除外；</w:t>
      </w:r>
    </w:p>
    <w:p w14:paraId="0704B8ED">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（3）单价金额小数点有明显错位的，应以总价为准，并修改单价；</w:t>
      </w:r>
    </w:p>
    <w:p w14:paraId="0EF8A65A">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（4）对不同语言文本响应文件的解释发生异议的，以中文文本为准。</w:t>
      </w:r>
    </w:p>
    <w:p w14:paraId="4515A28B">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14:paraId="349DBB7A">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注：评审委员会当积极履行澄清、说明或者更正的职责，不得滥用权力。供应商的响应文件可以要求澄清、说明或者更正的，不得未经澄清、说明或者更正而直接作无效响应处理。</w:t>
      </w:r>
    </w:p>
    <w:p w14:paraId="222B19DC">
      <w:pPr>
        <w:spacing w:line="360" w:lineRule="auto"/>
        <w:ind w:firstLine="482" w:firstLineChars="200"/>
        <w:rPr>
          <w:rFonts w:hint="eastAsia" w:ascii="仿宋" w:hAnsi="仿宋" w:eastAsia="仿宋" w:cs="仿宋"/>
          <w:b/>
          <w:bCs/>
          <w:color w:val="auto"/>
          <w:sz w:val="24"/>
          <w:lang w:val="en-US" w:eastAsia="zh-CN"/>
        </w:rPr>
      </w:pPr>
    </w:p>
    <w:p w14:paraId="64313FFC">
      <w:pPr>
        <w:spacing w:line="360" w:lineRule="auto"/>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lang w:eastAsia="zh-CN"/>
        </w:rPr>
        <w:t>评审结束后的纠错处理办法</w:t>
      </w:r>
    </w:p>
    <w:p w14:paraId="4522FDA0">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14:paraId="00BC9DF0">
      <w:pPr>
        <w:pStyle w:val="2"/>
        <w:rPr>
          <w:rFonts w:hint="eastAsia" w:ascii="仿宋" w:hAnsi="仿宋" w:eastAsia="仿宋" w:cs="仿宋"/>
          <w:lang w:val="en-US" w:eastAsia="zh-CN"/>
        </w:rPr>
      </w:pPr>
    </w:p>
    <w:p w14:paraId="0711C8A5">
      <w:pPr>
        <w:pStyle w:val="2"/>
        <w:rPr>
          <w:rFonts w:hint="eastAsia" w:ascii="仿宋" w:hAnsi="仿宋" w:eastAsia="仿宋" w:cs="仿宋"/>
          <w:lang w:val="en-US" w:eastAsia="zh-CN"/>
        </w:rPr>
      </w:pPr>
    </w:p>
    <w:p w14:paraId="75F3A294">
      <w:pPr>
        <w:spacing w:line="360" w:lineRule="auto"/>
        <w:ind w:firstLine="482" w:firstLineChars="200"/>
        <w:rPr>
          <w:rFonts w:hint="eastAsia" w:ascii="仿宋" w:hAnsi="仿宋" w:eastAsia="仿宋" w:cs="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终止谈判采购活动</w:t>
      </w:r>
    </w:p>
    <w:p w14:paraId="74EB6AF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出现下列情形之一的，采购人或者采购代理机构应当终止竞争性谈判采购活动，发布项目终止公告并说明原因，重新开展采购活动：</w:t>
      </w:r>
    </w:p>
    <w:p w14:paraId="6BD0897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）因情况变化，不再符合规定的竞争性谈判采购方式适用情形的；</w:t>
      </w:r>
    </w:p>
    <w:p w14:paraId="5358CD6D">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）出现影响采购公正的违法、违规行为的；</w:t>
      </w:r>
    </w:p>
    <w:p w14:paraId="707114F2">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）在采购过程中符合要求的供应商或者最后报价未超过采购预算的供应商不足</w:t>
      </w:r>
      <w:r>
        <w:rPr>
          <w:rFonts w:ascii="仿宋" w:hAnsi="仿宋" w:eastAsia="仿宋" w:cs="仿宋"/>
          <w:color w:val="auto"/>
          <w:sz w:val="24"/>
        </w:rPr>
        <w:t>3</w:t>
      </w:r>
      <w:r>
        <w:rPr>
          <w:rFonts w:hint="eastAsia" w:ascii="仿宋" w:hAnsi="仿宋" w:eastAsia="仿宋" w:cs="仿宋"/>
          <w:color w:val="auto"/>
          <w:sz w:val="24"/>
        </w:rPr>
        <w:t>家的。</w:t>
      </w:r>
    </w:p>
    <w:p w14:paraId="771AF3D7">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4）采购人认为继续开展采购活动，将损害国家利益、集体利益或损害其他当事人合法权益的。</w:t>
      </w:r>
    </w:p>
    <w:p w14:paraId="55519E13">
      <w:pPr>
        <w:tabs>
          <w:tab w:val="left" w:pos="851"/>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四、谈判纪律及注意事项</w:t>
      </w:r>
    </w:p>
    <w:p w14:paraId="55A530AE">
      <w:pPr>
        <w:tabs>
          <w:tab w:val="left" w:pos="851"/>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谈判小组内部讨论的情况和意见必须保密，任何人不得以任何形式透露给供应商或与供应商有关的单位或个人。</w:t>
      </w:r>
    </w:p>
    <w:p w14:paraId="3B5E3011">
      <w:pPr>
        <w:tabs>
          <w:tab w:val="left" w:pos="851"/>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在谈判过程中，供应商不得以任何形式对谈判小组成员进行旨在影响谈判结果的私下接触，否则将取消其参与谈判的资格。</w:t>
      </w:r>
    </w:p>
    <w:p w14:paraId="45E7E42B">
      <w:pPr>
        <w:tabs>
          <w:tab w:val="left" w:pos="851"/>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对各供应商的商业秘密，谈判小组成员应予以保密，不得泄露给其他供应商。</w:t>
      </w:r>
    </w:p>
    <w:p w14:paraId="419FED26">
      <w:pPr>
        <w:tabs>
          <w:tab w:val="left" w:pos="851"/>
        </w:tabs>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谈判小组独立评判，推荐成交候选人，并写出书面报告。</w:t>
      </w:r>
    </w:p>
    <w:p w14:paraId="372684AF">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五、谈判小组在</w:t>
      </w:r>
      <w:r>
        <w:rPr>
          <w:rFonts w:hint="eastAsia" w:ascii="仿宋" w:hAnsi="仿宋" w:eastAsia="仿宋" w:cs="仿宋"/>
          <w:b/>
          <w:bCs/>
          <w:color w:val="auto"/>
          <w:sz w:val="30"/>
          <w:szCs w:val="30"/>
          <w:lang w:eastAsia="zh-CN"/>
        </w:rPr>
        <w:t>本次</w:t>
      </w:r>
      <w:r>
        <w:rPr>
          <w:rFonts w:hint="eastAsia" w:ascii="仿宋" w:hAnsi="仿宋" w:eastAsia="仿宋" w:cs="仿宋"/>
          <w:b/>
          <w:bCs/>
          <w:color w:val="auto"/>
          <w:sz w:val="30"/>
          <w:szCs w:val="30"/>
        </w:rPr>
        <w:t>采购活动中</w:t>
      </w:r>
      <w:r>
        <w:rPr>
          <w:rFonts w:hint="eastAsia" w:ascii="仿宋" w:hAnsi="仿宋" w:eastAsia="仿宋" w:cs="仿宋"/>
          <w:b/>
          <w:bCs/>
          <w:color w:val="auto"/>
          <w:sz w:val="30"/>
          <w:szCs w:val="30"/>
          <w:lang w:eastAsia="zh-CN"/>
        </w:rPr>
        <w:t>应当</w:t>
      </w:r>
      <w:r>
        <w:rPr>
          <w:rFonts w:hint="eastAsia" w:ascii="仿宋" w:hAnsi="仿宋" w:eastAsia="仿宋" w:cs="仿宋"/>
          <w:b/>
          <w:bCs/>
          <w:color w:val="auto"/>
          <w:sz w:val="30"/>
          <w:szCs w:val="30"/>
        </w:rPr>
        <w:t>承担</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义务</w:t>
      </w:r>
    </w:p>
    <w:p w14:paraId="3AD3917A">
      <w:pPr>
        <w:spacing w:line="360" w:lineRule="auto"/>
        <w:ind w:firstLine="482" w:firstLineChars="200"/>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23.</w:t>
      </w:r>
      <w:r>
        <w:rPr>
          <w:rFonts w:hint="eastAsia" w:ascii="仿宋" w:hAnsi="仿宋" w:eastAsia="仿宋" w:cs="仿宋"/>
          <w:b/>
          <w:bCs/>
          <w:color w:val="auto"/>
          <w:sz w:val="24"/>
          <w:lang w:eastAsia="zh-CN"/>
        </w:rPr>
        <w:t>谈判小组应当承担以下义务</w:t>
      </w:r>
    </w:p>
    <w:p w14:paraId="07EAB80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遵守评审工作纪律；</w:t>
      </w:r>
    </w:p>
    <w:p w14:paraId="398BF014">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按照客观、公正、审慎的原则，根据谈判文件规定的评审程序、评审方法和评审标准进行独立评审；</w:t>
      </w:r>
    </w:p>
    <w:p w14:paraId="08CE5880">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不得泄露评审文件、评审情况和在评审过程中获悉的商业秘密；</w:t>
      </w:r>
    </w:p>
    <w:p w14:paraId="23C413C5">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及时向采购人、采购代理机构</w:t>
      </w:r>
      <w:r>
        <w:rPr>
          <w:rFonts w:hint="eastAsia" w:ascii="仿宋" w:hAnsi="仿宋" w:eastAsia="仿宋" w:cs="仿宋"/>
          <w:color w:val="auto"/>
          <w:sz w:val="24"/>
          <w:lang w:eastAsia="zh-CN"/>
        </w:rPr>
        <w:t>报告</w:t>
      </w:r>
      <w:r>
        <w:rPr>
          <w:rFonts w:hint="eastAsia" w:ascii="仿宋" w:hAnsi="仿宋" w:eastAsia="仿宋" w:cs="仿宋"/>
          <w:color w:val="auto"/>
          <w:sz w:val="24"/>
        </w:rPr>
        <w:t>供应商行贿、提供虚假材料或者串通等违法行为；</w:t>
      </w:r>
    </w:p>
    <w:p w14:paraId="2EF9D192">
      <w:pPr>
        <w:pStyle w:val="112"/>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法律、法规和规章规定的其他义务。</w:t>
      </w:r>
    </w:p>
    <w:p w14:paraId="4B603731">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bCs/>
          <w:color w:val="auto"/>
          <w:sz w:val="30"/>
          <w:szCs w:val="30"/>
          <w:lang w:eastAsia="zh-CN"/>
        </w:rPr>
        <w:t>谈判小组</w:t>
      </w:r>
      <w:r>
        <w:rPr>
          <w:rFonts w:hint="eastAsia" w:ascii="仿宋" w:hAnsi="仿宋" w:eastAsia="仿宋" w:cs="仿宋"/>
          <w:b/>
          <w:bCs/>
          <w:color w:val="auto"/>
          <w:sz w:val="30"/>
          <w:szCs w:val="30"/>
        </w:rPr>
        <w:t>在</w:t>
      </w:r>
      <w:r>
        <w:rPr>
          <w:rFonts w:hint="eastAsia" w:ascii="仿宋" w:hAnsi="仿宋" w:eastAsia="仿宋" w:cs="仿宋"/>
          <w:b/>
          <w:bCs/>
          <w:color w:val="auto"/>
          <w:sz w:val="30"/>
          <w:szCs w:val="30"/>
          <w:lang w:eastAsia="zh-CN"/>
        </w:rPr>
        <w:t>本次采</w:t>
      </w:r>
      <w:r>
        <w:rPr>
          <w:rFonts w:hint="eastAsia" w:ascii="仿宋" w:hAnsi="仿宋" w:eastAsia="仿宋" w:cs="仿宋"/>
          <w:b/>
          <w:bCs/>
          <w:color w:val="auto"/>
          <w:sz w:val="30"/>
          <w:szCs w:val="30"/>
        </w:rPr>
        <w:t>购活动中应当遵守</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工作纪律</w:t>
      </w:r>
    </w:p>
    <w:p w14:paraId="40E745C3">
      <w:pPr>
        <w:spacing w:line="360" w:lineRule="auto"/>
        <w:ind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24.谈判小组在本次采购活动中应当遵守以下工作纪律</w:t>
      </w:r>
    </w:p>
    <w:p w14:paraId="1991DA3D">
      <w:pPr>
        <w:pStyle w:val="112"/>
        <w:tabs>
          <w:tab w:val="left" w:pos="7665"/>
        </w:tabs>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（1）不</w:t>
      </w:r>
      <w:r>
        <w:rPr>
          <w:rFonts w:hint="eastAsia" w:ascii="仿宋" w:hAnsi="仿宋" w:eastAsia="仿宋" w:cs="仿宋"/>
          <w:color w:val="auto"/>
          <w:sz w:val="24"/>
        </w:rPr>
        <w:t>得参加与自己有利害关系的采购项目的评审活动。发现参加了与自己有利害关系的评审活动，须主动提出回避，退出评审；</w:t>
      </w:r>
    </w:p>
    <w:p w14:paraId="1FF5C09B">
      <w:pPr>
        <w:pStyle w:val="112"/>
        <w:tabs>
          <w:tab w:val="left" w:pos="7665"/>
        </w:tabs>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评审前，应当将通讯工具或者相关电子设备交由采购代理机构统一保</w:t>
      </w:r>
    </w:p>
    <w:p w14:paraId="63D5F6A4">
      <w:pPr>
        <w:pStyle w:val="112"/>
        <w:tabs>
          <w:tab w:val="left" w:pos="7665"/>
        </w:tabs>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管；</w:t>
      </w:r>
    </w:p>
    <w:p w14:paraId="56DA14F1">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评审过程中，不得与外界联系，因发生不可预见情况，确实需要与外</w:t>
      </w:r>
    </w:p>
    <w:p w14:paraId="0F4660D5">
      <w:pPr>
        <w:pStyle w:val="112"/>
        <w:tabs>
          <w:tab w:val="left" w:pos="7665"/>
        </w:tabs>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界联系的，应当在监督人员监督之下办理；</w:t>
      </w:r>
    </w:p>
    <w:p w14:paraId="7C3F3691">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评审过程中，不得发表影响评审公正的倾向性、歧视性言论，不得征</w:t>
      </w:r>
    </w:p>
    <w:p w14:paraId="2D7EDA42">
      <w:pPr>
        <w:pStyle w:val="112"/>
        <w:tabs>
          <w:tab w:val="left" w:pos="7665"/>
        </w:tabs>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14:paraId="5BD2E2F5">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在评审过程中和评审结束后，不得记录、复制或带走任何评审资料，</w:t>
      </w:r>
    </w:p>
    <w:p w14:paraId="7DE5EECC">
      <w:pPr>
        <w:pStyle w:val="112"/>
        <w:tabs>
          <w:tab w:val="left" w:pos="7665"/>
        </w:tabs>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不得向外界透露评审内容；</w:t>
      </w:r>
    </w:p>
    <w:p w14:paraId="7B1BC3B5">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评审现场服从采购代理机构工作人员的管理，接受现场监督人员的合</w:t>
      </w:r>
    </w:p>
    <w:p w14:paraId="7EB1A72E">
      <w:pPr>
        <w:pStyle w:val="112"/>
        <w:tabs>
          <w:tab w:val="left" w:pos="7665"/>
        </w:tabs>
        <w:spacing w:line="360" w:lineRule="auto"/>
        <w:ind w:firstLine="0" w:firstLineChars="0"/>
        <w:rPr>
          <w:rFonts w:hint="eastAsia" w:ascii="仿宋" w:hAnsi="仿宋" w:eastAsia="仿宋" w:cs="仿宋"/>
          <w:color w:val="auto"/>
          <w:sz w:val="24"/>
        </w:rPr>
      </w:pPr>
      <w:r>
        <w:rPr>
          <w:rFonts w:hint="eastAsia" w:ascii="仿宋" w:hAnsi="仿宋" w:eastAsia="仿宋" w:cs="仿宋"/>
          <w:color w:val="auto"/>
          <w:sz w:val="24"/>
        </w:rPr>
        <w:t>法监督；</w:t>
      </w:r>
    </w:p>
    <w:p w14:paraId="7AF9FDC7">
      <w:pPr>
        <w:pStyle w:val="112"/>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遵守有关廉洁自律规定，不得私下接触供应商，不得收受供应商及有</w:t>
      </w:r>
    </w:p>
    <w:p w14:paraId="4599E74F">
      <w:pPr>
        <w:pStyle w:val="112"/>
        <w:tabs>
          <w:tab w:val="left" w:pos="7665"/>
        </w:tabs>
        <w:spacing w:line="360" w:lineRule="auto"/>
        <w:ind w:firstLine="0" w:firstLineChars="0"/>
        <w:rPr>
          <w:rFonts w:hint="eastAsia" w:ascii="仿宋" w:hAnsi="仿宋" w:eastAsia="仿宋" w:cs="仿宋"/>
          <w:color w:val="auto"/>
          <w:sz w:val="24"/>
          <w:lang w:eastAsia="zh-CN"/>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rPr>
        <w:t>关业务单位和个人的财物或好处，不得接受采购代理机构的请托</w:t>
      </w:r>
      <w:bookmarkStart w:id="129" w:name="_Toc31949"/>
      <w:bookmarkStart w:id="130" w:name="_Toc19182"/>
      <w:bookmarkStart w:id="131" w:name="_Toc4895"/>
      <w:bookmarkStart w:id="132" w:name="_Toc27128"/>
      <w:bookmarkStart w:id="133" w:name="_Toc3219"/>
      <w:bookmarkStart w:id="134" w:name="_Toc2688"/>
      <w:r>
        <w:rPr>
          <w:rFonts w:hint="eastAsia" w:ascii="仿宋" w:hAnsi="仿宋" w:eastAsia="仿宋" w:cs="仿宋"/>
          <w:color w:val="auto"/>
          <w:sz w:val="24"/>
          <w:lang w:eastAsia="zh-CN"/>
        </w:rPr>
        <w:t>。</w:t>
      </w:r>
    </w:p>
    <w:p w14:paraId="0B346CA1">
      <w:pPr>
        <w:pStyle w:val="112"/>
        <w:tabs>
          <w:tab w:val="left" w:pos="7665"/>
        </w:tabs>
        <w:spacing w:line="360" w:lineRule="auto"/>
        <w:jc w:val="center"/>
        <w:outlineLvl w:val="0"/>
        <w:rPr>
          <w:rFonts w:hint="eastAsia" w:ascii="仿宋" w:hAnsi="仿宋" w:eastAsia="仿宋" w:cs="仿宋"/>
          <w:b/>
          <w:sz w:val="36"/>
        </w:rPr>
      </w:pPr>
      <w:r>
        <w:rPr>
          <w:rStyle w:val="73"/>
          <w:rFonts w:hint="eastAsia" w:ascii="仿宋" w:hAnsi="仿宋" w:eastAsia="仿宋" w:cs="仿宋"/>
          <w:color w:val="auto"/>
          <w:sz w:val="36"/>
          <w:szCs w:val="36"/>
        </w:rPr>
        <w:t>第九章 采购合同</w:t>
      </w:r>
      <w:bookmarkEnd w:id="129"/>
      <w:bookmarkEnd w:id="130"/>
      <w:bookmarkEnd w:id="131"/>
      <w:bookmarkEnd w:id="132"/>
      <w:bookmarkEnd w:id="133"/>
      <w:bookmarkEnd w:id="134"/>
      <w:bookmarkStart w:id="135" w:name="_Toc11954"/>
      <w:bookmarkStart w:id="136" w:name="_Toc20043"/>
      <w:bookmarkStart w:id="137" w:name="_Toc18227"/>
      <w:bookmarkStart w:id="138" w:name="_Toc28018"/>
    </w:p>
    <w:p w14:paraId="18D8DF4C">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合同编号：</w:t>
      </w:r>
    </w:p>
    <w:p w14:paraId="0D2C8FA2">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签订地点：</w:t>
      </w:r>
      <w:r>
        <w:rPr>
          <w:rFonts w:hint="eastAsia" w:ascii="仿宋" w:hAnsi="仿宋" w:eastAsia="仿宋" w:cs="仿宋"/>
          <w:sz w:val="24"/>
          <w:lang w:val="en-US" w:eastAsia="zh-CN"/>
        </w:rPr>
        <w:t>富顺县中医医院</w:t>
      </w:r>
    </w:p>
    <w:p w14:paraId="6647D041">
      <w:pPr>
        <w:spacing w:line="360" w:lineRule="auto"/>
        <w:ind w:firstLine="480" w:firstLineChars="200"/>
        <w:rPr>
          <w:rFonts w:hint="eastAsia" w:ascii="仿宋" w:hAnsi="仿宋" w:eastAsia="仿宋" w:cs="仿宋"/>
          <w:sz w:val="24"/>
        </w:rPr>
      </w:pPr>
      <w:r>
        <w:rPr>
          <w:rFonts w:hint="eastAsia" w:ascii="仿宋" w:hAnsi="仿宋" w:eastAsia="仿宋" w:cs="仿宋"/>
          <w:sz w:val="24"/>
        </w:rPr>
        <w:t>签订时间：</w:t>
      </w:r>
      <w:r>
        <w:rPr>
          <w:rFonts w:hint="eastAsia" w:ascii="仿宋" w:hAnsi="仿宋" w:eastAsia="仿宋" w:cs="仿宋"/>
          <w:sz w:val="24"/>
          <w:lang w:val="en-US" w:eastAsia="zh-CN"/>
        </w:rPr>
        <w:t xml:space="preserve">     </w:t>
      </w:r>
      <w:r>
        <w:rPr>
          <w:rFonts w:hint="eastAsia" w:ascii="仿宋" w:hAnsi="仿宋" w:eastAsia="仿宋" w:cs="仿宋"/>
          <w:sz w:val="24"/>
        </w:rPr>
        <w:t>年</w:t>
      </w:r>
      <w:r>
        <w:rPr>
          <w:rFonts w:hint="eastAsia" w:ascii="仿宋" w:hAnsi="仿宋" w:eastAsia="仿宋" w:cs="仿宋"/>
          <w:sz w:val="24"/>
          <w:lang w:val="en-US" w:eastAsia="zh-CN"/>
        </w:rPr>
        <w:t xml:space="preserve">   </w:t>
      </w:r>
      <w:r>
        <w:rPr>
          <w:rFonts w:hint="eastAsia" w:ascii="仿宋" w:hAnsi="仿宋" w:eastAsia="仿宋" w:cs="仿宋"/>
          <w:sz w:val="24"/>
        </w:rPr>
        <w:t>月</w:t>
      </w:r>
      <w:r>
        <w:rPr>
          <w:rFonts w:hint="eastAsia" w:ascii="仿宋" w:hAnsi="仿宋" w:eastAsia="仿宋" w:cs="仿宋"/>
          <w:sz w:val="24"/>
          <w:lang w:val="en-US" w:eastAsia="zh-CN"/>
        </w:rPr>
        <w:t xml:space="preserve">   </w:t>
      </w:r>
      <w:r>
        <w:rPr>
          <w:rFonts w:hint="eastAsia" w:ascii="仿宋" w:hAnsi="仿宋" w:eastAsia="仿宋" w:cs="仿宋"/>
          <w:sz w:val="24"/>
        </w:rPr>
        <w:t>日</w:t>
      </w:r>
    </w:p>
    <w:p w14:paraId="68D4A565">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采购人（甲方）：</w:t>
      </w:r>
      <w:r>
        <w:rPr>
          <w:rFonts w:hint="eastAsia" w:ascii="仿宋" w:hAnsi="仿宋" w:eastAsia="仿宋" w:cs="仿宋"/>
          <w:sz w:val="24"/>
          <w:lang w:val="en-US" w:eastAsia="zh-CN"/>
        </w:rPr>
        <w:t>富顺县中医医院</w:t>
      </w:r>
    </w:p>
    <w:p w14:paraId="0EB5413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rPr>
        <w:t>供应商（乙方）：</w:t>
      </w:r>
    </w:p>
    <w:p w14:paraId="13C23D19">
      <w:pPr>
        <w:spacing w:line="360" w:lineRule="auto"/>
        <w:ind w:firstLine="480" w:firstLineChars="200"/>
        <w:rPr>
          <w:rFonts w:hint="eastAsia" w:ascii="仿宋" w:hAnsi="仿宋" w:eastAsia="仿宋" w:cs="仿宋"/>
          <w:sz w:val="24"/>
        </w:rPr>
      </w:pPr>
      <w:r>
        <w:rPr>
          <w:rFonts w:hint="eastAsia" w:ascii="仿宋" w:hAnsi="仿宋" w:eastAsia="仿宋" w:cs="仿宋"/>
          <w:sz w:val="24"/>
        </w:rPr>
        <w:t>《中华人民共和国政府采购法》与项目行业有关的法律法规及富顺县中医医</w:t>
      </w:r>
      <w:r>
        <w:rPr>
          <w:rFonts w:hint="eastAsia" w:ascii="仿宋" w:hAnsi="仿宋" w:eastAsia="仿宋" w:cs="仿宋"/>
          <w:sz w:val="24"/>
          <w:lang w:val="en-US" w:eastAsia="zh-CN"/>
        </w:rPr>
        <w:t>***采购</w:t>
      </w:r>
      <w:r>
        <w:rPr>
          <w:rFonts w:hint="eastAsia" w:ascii="仿宋" w:hAnsi="仿宋" w:eastAsia="仿宋" w:cs="仿宋"/>
          <w:sz w:val="24"/>
        </w:rPr>
        <w:t>采购项目（项目编号</w:t>
      </w:r>
      <w:r>
        <w:rPr>
          <w:rFonts w:hint="eastAsia" w:ascii="仿宋" w:hAnsi="仿宋" w:eastAsia="仿宋" w:cs="仿宋"/>
          <w:sz w:val="24"/>
          <w:lang w:val="en-US" w:eastAsia="zh-CN"/>
        </w:rPr>
        <w:t>：***</w:t>
      </w:r>
      <w:r>
        <w:rPr>
          <w:rFonts w:hint="eastAsia" w:ascii="仿宋" w:hAnsi="仿宋" w:eastAsia="仿宋" w:cs="仿宋"/>
          <w:sz w:val="24"/>
        </w:rPr>
        <w:t>）的《</w:t>
      </w:r>
      <w:r>
        <w:rPr>
          <w:rFonts w:hint="eastAsia" w:ascii="仿宋" w:hAnsi="仿宋" w:eastAsia="仿宋" w:cs="仿宋"/>
          <w:sz w:val="24"/>
          <w:lang w:eastAsia="zh-CN"/>
        </w:rPr>
        <w:t>采购</w:t>
      </w:r>
      <w:r>
        <w:rPr>
          <w:rFonts w:hint="eastAsia" w:ascii="仿宋" w:hAnsi="仿宋" w:eastAsia="仿宋" w:cs="仿宋"/>
          <w:bCs/>
          <w:sz w:val="24"/>
        </w:rPr>
        <w:t>文件</w:t>
      </w:r>
      <w:r>
        <w:rPr>
          <w:rFonts w:hint="eastAsia" w:ascii="仿宋" w:hAnsi="仿宋" w:eastAsia="仿宋" w:cs="仿宋"/>
          <w:sz w:val="24"/>
        </w:rPr>
        <w:t>》、乙方的《响应文件》及《成交通知书》，甲、乙双方同意签订本合同。详细技术说明及其他有关合同项目的特定信息由合同附件予以说明，合同附件及本项目的询价文件、响应文件、《成交通知书》等均为本合同不可分割的部分。双方同意共同遵守如下条款：</w:t>
      </w:r>
    </w:p>
    <w:p w14:paraId="7342F607">
      <w:pPr>
        <w:spacing w:line="360" w:lineRule="auto"/>
        <w:ind w:firstLine="482" w:firstLineChars="200"/>
        <w:outlineLvl w:val="1"/>
        <w:rPr>
          <w:rFonts w:hint="eastAsia" w:ascii="仿宋" w:hAnsi="仿宋" w:eastAsia="仿宋" w:cs="仿宋"/>
          <w:b/>
          <w:sz w:val="24"/>
        </w:rPr>
      </w:pPr>
      <w:bookmarkStart w:id="139" w:name="_Toc21011"/>
      <w:r>
        <w:rPr>
          <w:rFonts w:hint="eastAsia" w:ascii="仿宋" w:hAnsi="仿宋" w:eastAsia="仿宋" w:cs="仿宋"/>
          <w:b/>
          <w:sz w:val="24"/>
        </w:rPr>
        <w:t>一、合同货物</w:t>
      </w:r>
      <w:bookmarkEnd w:id="139"/>
    </w:p>
    <w:tbl>
      <w:tblPr>
        <w:tblStyle w:val="2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8"/>
        <w:gridCol w:w="1713"/>
        <w:gridCol w:w="2355"/>
        <w:gridCol w:w="630"/>
        <w:gridCol w:w="835"/>
        <w:gridCol w:w="1387"/>
        <w:gridCol w:w="1568"/>
      </w:tblGrid>
      <w:tr w14:paraId="5934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578" w:type="dxa"/>
            <w:noWrap w:val="0"/>
            <w:tcMar>
              <w:bottom w:w="0" w:type="dxa"/>
            </w:tcMar>
            <w:vAlign w:val="center"/>
          </w:tcPr>
          <w:p w14:paraId="0E38181E">
            <w:pPr>
              <w:adjustRightInd w:val="0"/>
              <w:snapToGrid w:val="0"/>
              <w:spacing w:line="360" w:lineRule="auto"/>
              <w:jc w:val="center"/>
              <w:rPr>
                <w:rFonts w:hint="eastAsia" w:ascii="仿宋" w:hAnsi="仿宋" w:eastAsia="仿宋" w:cs="仿宋"/>
                <w:kern w:val="0"/>
                <w:sz w:val="24"/>
              </w:rPr>
            </w:pPr>
            <w:r>
              <w:rPr>
                <w:rFonts w:hint="eastAsia" w:ascii="仿宋" w:hAnsi="仿宋" w:eastAsia="仿宋" w:cs="仿宋"/>
                <w:kern w:val="0"/>
                <w:sz w:val="24"/>
              </w:rPr>
              <w:t>序号</w:t>
            </w:r>
          </w:p>
        </w:tc>
        <w:tc>
          <w:tcPr>
            <w:tcW w:w="1713" w:type="dxa"/>
            <w:noWrap w:val="0"/>
            <w:tcMar>
              <w:bottom w:w="0" w:type="dxa"/>
            </w:tcMar>
            <w:vAlign w:val="center"/>
          </w:tcPr>
          <w:p w14:paraId="6696A60E">
            <w:pPr>
              <w:spacing w:line="360" w:lineRule="auto"/>
              <w:jc w:val="center"/>
              <w:rPr>
                <w:rFonts w:hint="eastAsia" w:ascii="仿宋" w:hAnsi="仿宋" w:eastAsia="仿宋" w:cs="仿宋"/>
                <w:kern w:val="0"/>
                <w:sz w:val="24"/>
              </w:rPr>
            </w:pPr>
            <w:r>
              <w:rPr>
                <w:rFonts w:hint="eastAsia" w:ascii="仿宋" w:hAnsi="仿宋" w:eastAsia="仿宋" w:cs="仿宋"/>
                <w:kern w:val="0"/>
                <w:sz w:val="24"/>
              </w:rPr>
              <w:t>货物名称</w:t>
            </w:r>
          </w:p>
        </w:tc>
        <w:tc>
          <w:tcPr>
            <w:tcW w:w="2355" w:type="dxa"/>
            <w:noWrap w:val="0"/>
            <w:tcMar>
              <w:top w:w="13" w:type="dxa"/>
              <w:left w:w="13" w:type="dxa"/>
              <w:bottom w:w="0" w:type="dxa"/>
              <w:right w:w="13" w:type="dxa"/>
            </w:tcMar>
            <w:vAlign w:val="center"/>
          </w:tcPr>
          <w:p w14:paraId="2E8FFB51">
            <w:pPr>
              <w:tabs>
                <w:tab w:val="left" w:pos="3960"/>
              </w:tabs>
              <w:spacing w:line="360" w:lineRule="auto"/>
              <w:jc w:val="center"/>
              <w:rPr>
                <w:rFonts w:hint="eastAsia" w:ascii="仿宋" w:hAnsi="仿宋" w:eastAsia="仿宋" w:cs="仿宋"/>
                <w:sz w:val="24"/>
              </w:rPr>
            </w:pPr>
            <w:r>
              <w:rPr>
                <w:rFonts w:hint="eastAsia" w:ascii="仿宋" w:hAnsi="仿宋" w:eastAsia="仿宋" w:cs="仿宋"/>
                <w:sz w:val="24"/>
              </w:rPr>
              <w:t>厂家及品牌、规格型号</w:t>
            </w:r>
          </w:p>
        </w:tc>
        <w:tc>
          <w:tcPr>
            <w:tcW w:w="630" w:type="dxa"/>
            <w:noWrap w:val="0"/>
            <w:tcMar>
              <w:top w:w="13" w:type="dxa"/>
              <w:left w:w="57" w:type="dxa"/>
              <w:bottom w:w="0" w:type="dxa"/>
              <w:right w:w="57" w:type="dxa"/>
            </w:tcMar>
            <w:vAlign w:val="center"/>
          </w:tcPr>
          <w:p w14:paraId="3E738652">
            <w:pPr>
              <w:spacing w:line="360" w:lineRule="auto"/>
              <w:jc w:val="center"/>
              <w:rPr>
                <w:rFonts w:hint="eastAsia" w:ascii="仿宋" w:hAnsi="仿宋" w:eastAsia="仿宋" w:cs="仿宋"/>
                <w:kern w:val="0"/>
                <w:sz w:val="24"/>
              </w:rPr>
            </w:pPr>
            <w:r>
              <w:rPr>
                <w:rFonts w:hint="eastAsia" w:ascii="仿宋" w:hAnsi="仿宋" w:eastAsia="仿宋" w:cs="仿宋"/>
                <w:kern w:val="0"/>
                <w:sz w:val="24"/>
              </w:rPr>
              <w:t>单位</w:t>
            </w:r>
          </w:p>
        </w:tc>
        <w:tc>
          <w:tcPr>
            <w:tcW w:w="835" w:type="dxa"/>
            <w:noWrap w:val="0"/>
            <w:tcMar>
              <w:top w:w="13" w:type="dxa"/>
              <w:left w:w="13" w:type="dxa"/>
              <w:bottom w:w="0" w:type="dxa"/>
              <w:right w:w="13" w:type="dxa"/>
            </w:tcMar>
            <w:vAlign w:val="center"/>
          </w:tcPr>
          <w:p w14:paraId="02C82177">
            <w:pPr>
              <w:spacing w:line="360" w:lineRule="auto"/>
              <w:ind w:firstLine="240" w:firstLineChars="100"/>
              <w:jc w:val="center"/>
              <w:rPr>
                <w:rFonts w:hint="eastAsia" w:ascii="仿宋" w:hAnsi="仿宋" w:eastAsia="仿宋" w:cs="仿宋"/>
                <w:kern w:val="0"/>
                <w:sz w:val="24"/>
              </w:rPr>
            </w:pPr>
            <w:r>
              <w:rPr>
                <w:rFonts w:hint="eastAsia" w:ascii="仿宋" w:hAnsi="仿宋" w:eastAsia="仿宋" w:cs="仿宋"/>
                <w:kern w:val="0"/>
                <w:sz w:val="24"/>
              </w:rPr>
              <w:t>数量</w:t>
            </w:r>
          </w:p>
        </w:tc>
        <w:tc>
          <w:tcPr>
            <w:tcW w:w="1387" w:type="dxa"/>
            <w:noWrap w:val="0"/>
            <w:tcMar>
              <w:top w:w="13" w:type="dxa"/>
              <w:left w:w="13" w:type="dxa"/>
              <w:bottom w:w="0" w:type="dxa"/>
              <w:right w:w="13" w:type="dxa"/>
            </w:tcMar>
            <w:vAlign w:val="center"/>
          </w:tcPr>
          <w:p w14:paraId="731F5FC1">
            <w:pPr>
              <w:spacing w:line="360" w:lineRule="auto"/>
              <w:jc w:val="center"/>
              <w:rPr>
                <w:rFonts w:hint="eastAsia" w:ascii="仿宋" w:hAnsi="仿宋" w:eastAsia="仿宋" w:cs="仿宋"/>
                <w:kern w:val="0"/>
                <w:sz w:val="24"/>
              </w:rPr>
            </w:pPr>
            <w:r>
              <w:rPr>
                <w:rFonts w:hint="eastAsia" w:ascii="仿宋" w:hAnsi="仿宋" w:eastAsia="仿宋" w:cs="仿宋"/>
                <w:kern w:val="0"/>
                <w:sz w:val="24"/>
              </w:rPr>
              <w:t>单价（元）</w:t>
            </w:r>
          </w:p>
        </w:tc>
        <w:tc>
          <w:tcPr>
            <w:tcW w:w="1568" w:type="dxa"/>
            <w:noWrap w:val="0"/>
            <w:tcMar>
              <w:top w:w="13" w:type="dxa"/>
              <w:left w:w="13" w:type="dxa"/>
              <w:bottom w:w="0" w:type="dxa"/>
              <w:right w:w="13" w:type="dxa"/>
            </w:tcMar>
            <w:vAlign w:val="center"/>
          </w:tcPr>
          <w:p w14:paraId="1D872352">
            <w:pPr>
              <w:spacing w:line="360" w:lineRule="auto"/>
              <w:jc w:val="center"/>
              <w:rPr>
                <w:rFonts w:hint="eastAsia" w:ascii="仿宋" w:hAnsi="仿宋" w:eastAsia="仿宋" w:cs="仿宋"/>
                <w:kern w:val="0"/>
                <w:sz w:val="24"/>
              </w:rPr>
            </w:pPr>
            <w:r>
              <w:rPr>
                <w:rFonts w:hint="eastAsia" w:ascii="仿宋" w:hAnsi="仿宋" w:eastAsia="仿宋" w:cs="仿宋"/>
                <w:kern w:val="0"/>
                <w:sz w:val="24"/>
              </w:rPr>
              <w:t>小计金额（元）</w:t>
            </w:r>
          </w:p>
        </w:tc>
      </w:tr>
      <w:tr w14:paraId="123CD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jc w:val="center"/>
        </w:trPr>
        <w:tc>
          <w:tcPr>
            <w:tcW w:w="578" w:type="dxa"/>
            <w:noWrap w:val="0"/>
            <w:tcMar>
              <w:bottom w:w="0" w:type="dxa"/>
            </w:tcMar>
            <w:vAlign w:val="center"/>
          </w:tcPr>
          <w:p w14:paraId="06335A66">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1</w:t>
            </w:r>
          </w:p>
        </w:tc>
        <w:tc>
          <w:tcPr>
            <w:tcW w:w="1713" w:type="dxa"/>
            <w:noWrap w:val="0"/>
            <w:tcMar>
              <w:bottom w:w="0" w:type="dxa"/>
            </w:tcMar>
            <w:vAlign w:val="center"/>
          </w:tcPr>
          <w:p w14:paraId="44F4B71A">
            <w:pPr>
              <w:spacing w:line="360" w:lineRule="auto"/>
              <w:jc w:val="center"/>
              <w:rPr>
                <w:rFonts w:hint="eastAsia" w:ascii="仿宋" w:hAnsi="仿宋" w:eastAsia="仿宋" w:cs="仿宋"/>
                <w:kern w:val="0"/>
                <w:sz w:val="24"/>
                <w:lang w:val="en-US" w:eastAsia="zh-CN"/>
              </w:rPr>
            </w:pPr>
          </w:p>
        </w:tc>
        <w:tc>
          <w:tcPr>
            <w:tcW w:w="2355" w:type="dxa"/>
            <w:noWrap w:val="0"/>
            <w:tcMar>
              <w:top w:w="13" w:type="dxa"/>
              <w:left w:w="13" w:type="dxa"/>
              <w:bottom w:w="0" w:type="dxa"/>
              <w:right w:w="13" w:type="dxa"/>
            </w:tcMar>
            <w:vAlign w:val="center"/>
          </w:tcPr>
          <w:p w14:paraId="22809664">
            <w:pPr>
              <w:spacing w:line="360" w:lineRule="auto"/>
              <w:jc w:val="center"/>
              <w:rPr>
                <w:rFonts w:hint="eastAsia" w:ascii="仿宋" w:hAnsi="仿宋" w:eastAsia="仿宋" w:cs="仿宋"/>
                <w:sz w:val="24"/>
                <w:lang w:val="en-US" w:eastAsia="zh-CN"/>
              </w:rPr>
            </w:pPr>
          </w:p>
        </w:tc>
        <w:tc>
          <w:tcPr>
            <w:tcW w:w="630" w:type="dxa"/>
            <w:noWrap w:val="0"/>
            <w:tcMar>
              <w:top w:w="13" w:type="dxa"/>
              <w:left w:w="57" w:type="dxa"/>
              <w:bottom w:w="0" w:type="dxa"/>
              <w:right w:w="57" w:type="dxa"/>
            </w:tcMar>
            <w:vAlign w:val="center"/>
          </w:tcPr>
          <w:p w14:paraId="433614FD">
            <w:pPr>
              <w:spacing w:line="360" w:lineRule="auto"/>
              <w:jc w:val="center"/>
              <w:rPr>
                <w:rFonts w:hint="eastAsia" w:ascii="仿宋" w:hAnsi="仿宋" w:eastAsia="仿宋" w:cs="仿宋"/>
                <w:sz w:val="24"/>
                <w:lang w:val="en-US" w:eastAsia="zh-CN"/>
              </w:rPr>
            </w:pPr>
          </w:p>
        </w:tc>
        <w:tc>
          <w:tcPr>
            <w:tcW w:w="835" w:type="dxa"/>
            <w:noWrap w:val="0"/>
            <w:tcMar>
              <w:top w:w="13" w:type="dxa"/>
              <w:left w:w="13" w:type="dxa"/>
              <w:bottom w:w="0" w:type="dxa"/>
              <w:right w:w="13" w:type="dxa"/>
            </w:tcMar>
            <w:vAlign w:val="center"/>
          </w:tcPr>
          <w:p w14:paraId="6F1D661B">
            <w:pPr>
              <w:spacing w:line="360" w:lineRule="auto"/>
              <w:jc w:val="center"/>
              <w:rPr>
                <w:rFonts w:hint="eastAsia" w:ascii="仿宋" w:hAnsi="仿宋" w:eastAsia="仿宋" w:cs="仿宋"/>
                <w:sz w:val="24"/>
                <w:lang w:val="en-US" w:eastAsia="zh-CN"/>
              </w:rPr>
            </w:pPr>
          </w:p>
        </w:tc>
        <w:tc>
          <w:tcPr>
            <w:tcW w:w="1387" w:type="dxa"/>
            <w:noWrap w:val="0"/>
            <w:tcMar>
              <w:top w:w="13" w:type="dxa"/>
              <w:left w:w="13" w:type="dxa"/>
              <w:bottom w:w="0" w:type="dxa"/>
              <w:right w:w="13" w:type="dxa"/>
            </w:tcMar>
            <w:vAlign w:val="center"/>
          </w:tcPr>
          <w:p w14:paraId="53629966">
            <w:pPr>
              <w:spacing w:line="360" w:lineRule="auto"/>
              <w:jc w:val="center"/>
              <w:rPr>
                <w:rFonts w:hint="eastAsia" w:ascii="仿宋" w:hAnsi="仿宋" w:eastAsia="仿宋" w:cs="仿宋"/>
                <w:sz w:val="24"/>
                <w:lang w:val="en-US" w:eastAsia="zh-CN"/>
              </w:rPr>
            </w:pPr>
          </w:p>
        </w:tc>
        <w:tc>
          <w:tcPr>
            <w:tcW w:w="1568" w:type="dxa"/>
            <w:noWrap w:val="0"/>
            <w:tcMar>
              <w:top w:w="13" w:type="dxa"/>
              <w:left w:w="13" w:type="dxa"/>
              <w:bottom w:w="0" w:type="dxa"/>
              <w:right w:w="13" w:type="dxa"/>
            </w:tcMar>
            <w:vAlign w:val="center"/>
          </w:tcPr>
          <w:p w14:paraId="5B1839A7">
            <w:pPr>
              <w:spacing w:line="360" w:lineRule="auto"/>
              <w:jc w:val="center"/>
              <w:rPr>
                <w:rFonts w:hint="eastAsia" w:ascii="仿宋" w:hAnsi="仿宋" w:eastAsia="仿宋" w:cs="仿宋"/>
                <w:kern w:val="0"/>
                <w:sz w:val="24"/>
                <w:lang w:val="en-US" w:eastAsia="zh-CN"/>
              </w:rPr>
            </w:pPr>
          </w:p>
        </w:tc>
      </w:tr>
      <w:tr w14:paraId="29AA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78" w:type="dxa"/>
            <w:noWrap w:val="0"/>
            <w:tcMar>
              <w:bottom w:w="0" w:type="dxa"/>
            </w:tcMar>
            <w:vAlign w:val="center"/>
          </w:tcPr>
          <w:p w14:paraId="0D133F4E">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w:t>
            </w:r>
          </w:p>
        </w:tc>
        <w:tc>
          <w:tcPr>
            <w:tcW w:w="1713" w:type="dxa"/>
            <w:noWrap w:val="0"/>
            <w:tcMar>
              <w:bottom w:w="0" w:type="dxa"/>
            </w:tcMar>
            <w:vAlign w:val="center"/>
          </w:tcPr>
          <w:p w14:paraId="5BE02520">
            <w:pPr>
              <w:spacing w:line="360" w:lineRule="auto"/>
              <w:jc w:val="center"/>
              <w:rPr>
                <w:rFonts w:hint="eastAsia" w:ascii="仿宋" w:hAnsi="仿宋" w:eastAsia="仿宋" w:cs="仿宋"/>
                <w:kern w:val="0"/>
                <w:sz w:val="24"/>
                <w:lang w:val="en-US" w:eastAsia="zh-CN"/>
              </w:rPr>
            </w:pPr>
          </w:p>
        </w:tc>
        <w:tc>
          <w:tcPr>
            <w:tcW w:w="2355" w:type="dxa"/>
            <w:noWrap w:val="0"/>
            <w:tcMar>
              <w:top w:w="13" w:type="dxa"/>
              <w:left w:w="13" w:type="dxa"/>
              <w:bottom w:w="0" w:type="dxa"/>
              <w:right w:w="13" w:type="dxa"/>
            </w:tcMar>
            <w:vAlign w:val="center"/>
          </w:tcPr>
          <w:p w14:paraId="5CCBDABA">
            <w:pPr>
              <w:spacing w:line="360" w:lineRule="auto"/>
              <w:jc w:val="center"/>
              <w:rPr>
                <w:rFonts w:hint="eastAsia" w:ascii="仿宋" w:hAnsi="仿宋" w:eastAsia="仿宋" w:cs="仿宋"/>
                <w:sz w:val="24"/>
                <w:lang w:val="en-US" w:eastAsia="zh-CN"/>
              </w:rPr>
            </w:pPr>
          </w:p>
        </w:tc>
        <w:tc>
          <w:tcPr>
            <w:tcW w:w="630" w:type="dxa"/>
            <w:noWrap w:val="0"/>
            <w:tcMar>
              <w:top w:w="13" w:type="dxa"/>
              <w:left w:w="57" w:type="dxa"/>
              <w:bottom w:w="0" w:type="dxa"/>
              <w:right w:w="57" w:type="dxa"/>
            </w:tcMar>
            <w:vAlign w:val="center"/>
          </w:tcPr>
          <w:p w14:paraId="3ED17EF8">
            <w:pPr>
              <w:spacing w:line="360" w:lineRule="auto"/>
              <w:jc w:val="center"/>
              <w:rPr>
                <w:rFonts w:hint="eastAsia" w:ascii="仿宋" w:hAnsi="仿宋" w:eastAsia="仿宋" w:cs="仿宋"/>
                <w:sz w:val="24"/>
                <w:lang w:val="en-US" w:eastAsia="zh-CN"/>
              </w:rPr>
            </w:pPr>
          </w:p>
        </w:tc>
        <w:tc>
          <w:tcPr>
            <w:tcW w:w="835" w:type="dxa"/>
            <w:noWrap w:val="0"/>
            <w:tcMar>
              <w:top w:w="13" w:type="dxa"/>
              <w:left w:w="13" w:type="dxa"/>
              <w:bottom w:w="0" w:type="dxa"/>
              <w:right w:w="13" w:type="dxa"/>
            </w:tcMar>
            <w:vAlign w:val="center"/>
          </w:tcPr>
          <w:p w14:paraId="5B6445DD">
            <w:pPr>
              <w:spacing w:line="360" w:lineRule="auto"/>
              <w:jc w:val="center"/>
              <w:rPr>
                <w:rFonts w:hint="eastAsia" w:ascii="仿宋" w:hAnsi="仿宋" w:eastAsia="仿宋" w:cs="仿宋"/>
                <w:sz w:val="24"/>
                <w:lang w:val="en-US" w:eastAsia="zh-CN"/>
              </w:rPr>
            </w:pPr>
          </w:p>
        </w:tc>
        <w:tc>
          <w:tcPr>
            <w:tcW w:w="1387" w:type="dxa"/>
            <w:noWrap w:val="0"/>
            <w:tcMar>
              <w:top w:w="13" w:type="dxa"/>
              <w:left w:w="13" w:type="dxa"/>
              <w:bottom w:w="0" w:type="dxa"/>
              <w:right w:w="13" w:type="dxa"/>
            </w:tcMar>
            <w:vAlign w:val="center"/>
          </w:tcPr>
          <w:p w14:paraId="414F6B5A">
            <w:pPr>
              <w:spacing w:line="360" w:lineRule="auto"/>
              <w:jc w:val="center"/>
              <w:rPr>
                <w:rFonts w:hint="eastAsia" w:ascii="仿宋" w:hAnsi="仿宋" w:eastAsia="仿宋" w:cs="仿宋"/>
                <w:sz w:val="24"/>
                <w:lang w:val="en-US" w:eastAsia="zh-CN"/>
              </w:rPr>
            </w:pPr>
          </w:p>
        </w:tc>
        <w:tc>
          <w:tcPr>
            <w:tcW w:w="1568" w:type="dxa"/>
            <w:noWrap w:val="0"/>
            <w:tcMar>
              <w:top w:w="13" w:type="dxa"/>
              <w:left w:w="13" w:type="dxa"/>
              <w:bottom w:w="0" w:type="dxa"/>
              <w:right w:w="13" w:type="dxa"/>
            </w:tcMar>
            <w:vAlign w:val="center"/>
          </w:tcPr>
          <w:p w14:paraId="4D803237">
            <w:pPr>
              <w:spacing w:line="360" w:lineRule="auto"/>
              <w:jc w:val="center"/>
              <w:rPr>
                <w:rFonts w:hint="eastAsia" w:ascii="仿宋" w:hAnsi="仿宋" w:eastAsia="仿宋" w:cs="仿宋"/>
                <w:kern w:val="0"/>
                <w:sz w:val="24"/>
                <w:lang w:val="en-US" w:eastAsia="zh-CN"/>
              </w:rPr>
            </w:pPr>
          </w:p>
        </w:tc>
      </w:tr>
      <w:tr w14:paraId="6F93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78" w:type="dxa"/>
            <w:noWrap w:val="0"/>
            <w:tcMar>
              <w:bottom w:w="0" w:type="dxa"/>
            </w:tcMar>
            <w:vAlign w:val="center"/>
          </w:tcPr>
          <w:p w14:paraId="185A25D6">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w:t>
            </w:r>
          </w:p>
        </w:tc>
        <w:tc>
          <w:tcPr>
            <w:tcW w:w="1713" w:type="dxa"/>
            <w:noWrap w:val="0"/>
            <w:tcMar>
              <w:bottom w:w="0" w:type="dxa"/>
            </w:tcMar>
            <w:vAlign w:val="center"/>
          </w:tcPr>
          <w:p w14:paraId="7C05154A">
            <w:pPr>
              <w:spacing w:line="360" w:lineRule="auto"/>
              <w:jc w:val="center"/>
              <w:rPr>
                <w:rFonts w:hint="eastAsia" w:ascii="仿宋" w:hAnsi="仿宋" w:eastAsia="仿宋" w:cs="仿宋"/>
                <w:kern w:val="0"/>
                <w:sz w:val="24"/>
                <w:lang w:val="en-US" w:eastAsia="zh-CN"/>
              </w:rPr>
            </w:pPr>
          </w:p>
        </w:tc>
        <w:tc>
          <w:tcPr>
            <w:tcW w:w="2355" w:type="dxa"/>
            <w:noWrap w:val="0"/>
            <w:tcMar>
              <w:top w:w="13" w:type="dxa"/>
              <w:left w:w="13" w:type="dxa"/>
              <w:bottom w:w="0" w:type="dxa"/>
              <w:right w:w="13" w:type="dxa"/>
            </w:tcMar>
            <w:vAlign w:val="center"/>
          </w:tcPr>
          <w:p w14:paraId="7838EAA9">
            <w:pPr>
              <w:spacing w:line="360" w:lineRule="auto"/>
              <w:jc w:val="center"/>
              <w:rPr>
                <w:rFonts w:hint="eastAsia" w:ascii="仿宋" w:hAnsi="仿宋" w:eastAsia="仿宋" w:cs="仿宋"/>
                <w:sz w:val="24"/>
              </w:rPr>
            </w:pPr>
          </w:p>
        </w:tc>
        <w:tc>
          <w:tcPr>
            <w:tcW w:w="630" w:type="dxa"/>
            <w:noWrap w:val="0"/>
            <w:tcMar>
              <w:top w:w="13" w:type="dxa"/>
              <w:left w:w="57" w:type="dxa"/>
              <w:bottom w:w="0" w:type="dxa"/>
              <w:right w:w="57" w:type="dxa"/>
            </w:tcMar>
            <w:vAlign w:val="center"/>
          </w:tcPr>
          <w:p w14:paraId="364F94CD">
            <w:pPr>
              <w:spacing w:line="360" w:lineRule="auto"/>
              <w:jc w:val="center"/>
              <w:rPr>
                <w:rFonts w:hint="eastAsia" w:ascii="仿宋" w:hAnsi="仿宋" w:eastAsia="仿宋" w:cs="仿宋"/>
                <w:sz w:val="24"/>
                <w:lang w:val="en-US" w:eastAsia="zh-CN"/>
              </w:rPr>
            </w:pPr>
          </w:p>
        </w:tc>
        <w:tc>
          <w:tcPr>
            <w:tcW w:w="835" w:type="dxa"/>
            <w:noWrap w:val="0"/>
            <w:tcMar>
              <w:top w:w="13" w:type="dxa"/>
              <w:left w:w="13" w:type="dxa"/>
              <w:bottom w:w="0" w:type="dxa"/>
              <w:right w:w="13" w:type="dxa"/>
            </w:tcMar>
            <w:vAlign w:val="center"/>
          </w:tcPr>
          <w:p w14:paraId="31C5A937">
            <w:pPr>
              <w:spacing w:line="360" w:lineRule="auto"/>
              <w:jc w:val="center"/>
              <w:rPr>
                <w:rFonts w:hint="eastAsia" w:ascii="仿宋" w:hAnsi="仿宋" w:eastAsia="仿宋" w:cs="仿宋"/>
                <w:sz w:val="24"/>
                <w:lang w:val="en-US" w:eastAsia="zh-CN"/>
              </w:rPr>
            </w:pPr>
          </w:p>
        </w:tc>
        <w:tc>
          <w:tcPr>
            <w:tcW w:w="1387" w:type="dxa"/>
            <w:noWrap w:val="0"/>
            <w:tcMar>
              <w:top w:w="13" w:type="dxa"/>
              <w:left w:w="13" w:type="dxa"/>
              <w:bottom w:w="0" w:type="dxa"/>
              <w:right w:w="13" w:type="dxa"/>
            </w:tcMar>
            <w:vAlign w:val="center"/>
          </w:tcPr>
          <w:p w14:paraId="2432E330">
            <w:pPr>
              <w:spacing w:line="360" w:lineRule="auto"/>
              <w:jc w:val="center"/>
              <w:rPr>
                <w:rFonts w:hint="eastAsia" w:ascii="仿宋" w:hAnsi="仿宋" w:eastAsia="仿宋" w:cs="仿宋"/>
                <w:sz w:val="24"/>
                <w:lang w:val="en-US" w:eastAsia="zh-CN"/>
              </w:rPr>
            </w:pPr>
          </w:p>
        </w:tc>
        <w:tc>
          <w:tcPr>
            <w:tcW w:w="1568" w:type="dxa"/>
            <w:noWrap w:val="0"/>
            <w:tcMar>
              <w:top w:w="13" w:type="dxa"/>
              <w:left w:w="13" w:type="dxa"/>
              <w:bottom w:w="0" w:type="dxa"/>
              <w:right w:w="13" w:type="dxa"/>
            </w:tcMar>
            <w:vAlign w:val="center"/>
          </w:tcPr>
          <w:p w14:paraId="19464838">
            <w:pPr>
              <w:spacing w:line="360" w:lineRule="auto"/>
              <w:jc w:val="center"/>
              <w:rPr>
                <w:rFonts w:hint="eastAsia" w:ascii="仿宋" w:hAnsi="仿宋" w:eastAsia="仿宋" w:cs="仿宋"/>
                <w:kern w:val="0"/>
                <w:sz w:val="24"/>
                <w:lang w:val="en-US" w:eastAsia="zh-CN"/>
              </w:rPr>
            </w:pPr>
          </w:p>
        </w:tc>
      </w:tr>
      <w:tr w14:paraId="4F39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78" w:type="dxa"/>
            <w:noWrap w:val="0"/>
            <w:tcMar>
              <w:bottom w:w="0" w:type="dxa"/>
            </w:tcMar>
            <w:vAlign w:val="center"/>
          </w:tcPr>
          <w:p w14:paraId="64969955">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w:t>
            </w:r>
          </w:p>
        </w:tc>
        <w:tc>
          <w:tcPr>
            <w:tcW w:w="1713" w:type="dxa"/>
            <w:noWrap w:val="0"/>
            <w:tcMar>
              <w:bottom w:w="0" w:type="dxa"/>
            </w:tcMar>
            <w:vAlign w:val="center"/>
          </w:tcPr>
          <w:p w14:paraId="294C2103">
            <w:pPr>
              <w:spacing w:line="360" w:lineRule="auto"/>
              <w:jc w:val="center"/>
              <w:rPr>
                <w:rFonts w:hint="eastAsia" w:ascii="仿宋" w:hAnsi="仿宋" w:eastAsia="仿宋" w:cs="仿宋"/>
                <w:kern w:val="0"/>
                <w:sz w:val="24"/>
                <w:lang w:val="en-US" w:eastAsia="zh-CN"/>
              </w:rPr>
            </w:pPr>
          </w:p>
        </w:tc>
        <w:tc>
          <w:tcPr>
            <w:tcW w:w="2355" w:type="dxa"/>
            <w:noWrap w:val="0"/>
            <w:tcMar>
              <w:top w:w="13" w:type="dxa"/>
              <w:left w:w="13" w:type="dxa"/>
              <w:bottom w:w="0" w:type="dxa"/>
              <w:right w:w="13" w:type="dxa"/>
            </w:tcMar>
            <w:vAlign w:val="center"/>
          </w:tcPr>
          <w:p w14:paraId="68D7899A">
            <w:pPr>
              <w:spacing w:line="360" w:lineRule="auto"/>
              <w:jc w:val="center"/>
              <w:rPr>
                <w:rFonts w:hint="eastAsia" w:ascii="仿宋" w:hAnsi="仿宋" w:eastAsia="仿宋" w:cs="仿宋"/>
                <w:sz w:val="24"/>
              </w:rPr>
            </w:pPr>
          </w:p>
        </w:tc>
        <w:tc>
          <w:tcPr>
            <w:tcW w:w="630" w:type="dxa"/>
            <w:noWrap w:val="0"/>
            <w:tcMar>
              <w:top w:w="13" w:type="dxa"/>
              <w:left w:w="57" w:type="dxa"/>
              <w:bottom w:w="0" w:type="dxa"/>
              <w:right w:w="57" w:type="dxa"/>
            </w:tcMar>
            <w:vAlign w:val="center"/>
          </w:tcPr>
          <w:p w14:paraId="409A404E">
            <w:pPr>
              <w:spacing w:line="360" w:lineRule="auto"/>
              <w:jc w:val="center"/>
              <w:rPr>
                <w:rFonts w:hint="eastAsia" w:ascii="仿宋" w:hAnsi="仿宋" w:eastAsia="仿宋" w:cs="仿宋"/>
                <w:sz w:val="24"/>
                <w:lang w:val="en-US" w:eastAsia="zh-CN"/>
              </w:rPr>
            </w:pPr>
          </w:p>
        </w:tc>
        <w:tc>
          <w:tcPr>
            <w:tcW w:w="835" w:type="dxa"/>
            <w:noWrap w:val="0"/>
            <w:tcMar>
              <w:top w:w="13" w:type="dxa"/>
              <w:left w:w="13" w:type="dxa"/>
              <w:bottom w:w="0" w:type="dxa"/>
              <w:right w:w="13" w:type="dxa"/>
            </w:tcMar>
            <w:vAlign w:val="center"/>
          </w:tcPr>
          <w:p w14:paraId="43F76F6A">
            <w:pPr>
              <w:spacing w:line="360" w:lineRule="auto"/>
              <w:jc w:val="center"/>
              <w:rPr>
                <w:rFonts w:hint="eastAsia" w:ascii="仿宋" w:hAnsi="仿宋" w:eastAsia="仿宋" w:cs="仿宋"/>
                <w:sz w:val="24"/>
                <w:lang w:val="en-US" w:eastAsia="zh-CN"/>
              </w:rPr>
            </w:pPr>
          </w:p>
        </w:tc>
        <w:tc>
          <w:tcPr>
            <w:tcW w:w="1387" w:type="dxa"/>
            <w:noWrap w:val="0"/>
            <w:tcMar>
              <w:top w:w="13" w:type="dxa"/>
              <w:left w:w="13" w:type="dxa"/>
              <w:bottom w:w="0" w:type="dxa"/>
              <w:right w:w="13" w:type="dxa"/>
            </w:tcMar>
            <w:vAlign w:val="center"/>
          </w:tcPr>
          <w:p w14:paraId="7FD6071D">
            <w:pPr>
              <w:spacing w:line="360" w:lineRule="auto"/>
              <w:jc w:val="center"/>
              <w:rPr>
                <w:rFonts w:hint="eastAsia" w:ascii="仿宋" w:hAnsi="仿宋" w:eastAsia="仿宋" w:cs="仿宋"/>
                <w:sz w:val="24"/>
                <w:lang w:val="en-US" w:eastAsia="zh-CN"/>
              </w:rPr>
            </w:pPr>
          </w:p>
        </w:tc>
        <w:tc>
          <w:tcPr>
            <w:tcW w:w="1568" w:type="dxa"/>
            <w:noWrap w:val="0"/>
            <w:tcMar>
              <w:top w:w="13" w:type="dxa"/>
              <w:left w:w="13" w:type="dxa"/>
              <w:bottom w:w="0" w:type="dxa"/>
              <w:right w:w="13" w:type="dxa"/>
            </w:tcMar>
            <w:vAlign w:val="center"/>
          </w:tcPr>
          <w:p w14:paraId="41101E93">
            <w:pPr>
              <w:spacing w:line="360" w:lineRule="auto"/>
              <w:jc w:val="center"/>
              <w:rPr>
                <w:rFonts w:hint="eastAsia" w:ascii="仿宋" w:hAnsi="仿宋" w:eastAsia="仿宋" w:cs="仿宋"/>
                <w:kern w:val="0"/>
                <w:sz w:val="24"/>
                <w:lang w:val="en-US" w:eastAsia="zh-CN"/>
              </w:rPr>
            </w:pPr>
          </w:p>
        </w:tc>
      </w:tr>
      <w:tr w14:paraId="0C5D1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9066" w:type="dxa"/>
            <w:gridSpan w:val="7"/>
            <w:noWrap w:val="0"/>
            <w:tcMar>
              <w:bottom w:w="0" w:type="dxa"/>
            </w:tcMar>
            <w:vAlign w:val="center"/>
          </w:tcPr>
          <w:p w14:paraId="4D941BA1">
            <w:pPr>
              <w:spacing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合计金额：    元（大写：）</w:t>
            </w:r>
          </w:p>
        </w:tc>
      </w:tr>
    </w:tbl>
    <w:p w14:paraId="3CD1F48A">
      <w:pPr>
        <w:spacing w:line="360" w:lineRule="auto"/>
        <w:outlineLvl w:val="9"/>
        <w:rPr>
          <w:rFonts w:hint="eastAsia" w:ascii="仿宋" w:hAnsi="仿宋" w:eastAsia="仿宋" w:cs="仿宋"/>
          <w:b/>
          <w:sz w:val="24"/>
        </w:rPr>
      </w:pPr>
      <w:bookmarkStart w:id="140" w:name="_Toc18557"/>
    </w:p>
    <w:p w14:paraId="096C6CA9">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二、合同总价</w:t>
      </w:r>
      <w:bookmarkEnd w:id="140"/>
    </w:p>
    <w:p w14:paraId="02958296">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合同总价为人民币大写：</w:t>
      </w:r>
      <w:r>
        <w:rPr>
          <w:rFonts w:hint="eastAsia" w:ascii="仿宋" w:hAnsi="仿宋" w:eastAsia="仿宋" w:cs="仿宋"/>
          <w:sz w:val="24"/>
          <w:lang w:val="en-US" w:eastAsia="zh-CN"/>
        </w:rPr>
        <w:t xml:space="preserve">    </w:t>
      </w:r>
      <w:r>
        <w:rPr>
          <w:rFonts w:hint="eastAsia" w:ascii="仿宋" w:hAnsi="仿宋" w:eastAsia="仿宋" w:cs="仿宋"/>
          <w:sz w:val="24"/>
        </w:rPr>
        <w:t>，即RMB￥</w:t>
      </w:r>
      <w:r>
        <w:rPr>
          <w:rFonts w:hint="eastAsia" w:ascii="仿宋" w:hAnsi="仿宋" w:eastAsia="仿宋" w:cs="仿宋"/>
          <w:sz w:val="24"/>
          <w:lang w:val="en-US" w:eastAsia="zh-CN"/>
        </w:rPr>
        <w:t xml:space="preserve">     </w:t>
      </w:r>
      <w:r>
        <w:rPr>
          <w:rFonts w:hint="eastAsia" w:ascii="仿宋" w:hAnsi="仿宋" w:eastAsia="仿宋" w:cs="仿宋"/>
          <w:sz w:val="24"/>
        </w:rPr>
        <w:t>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6E099643">
      <w:pPr>
        <w:tabs>
          <w:tab w:val="left" w:pos="2145"/>
        </w:tabs>
        <w:spacing w:line="360" w:lineRule="auto"/>
        <w:ind w:firstLine="482" w:firstLineChars="200"/>
        <w:outlineLvl w:val="1"/>
        <w:rPr>
          <w:rFonts w:hint="eastAsia" w:ascii="仿宋" w:hAnsi="仿宋" w:eastAsia="仿宋" w:cs="仿宋"/>
          <w:b/>
          <w:sz w:val="24"/>
        </w:rPr>
      </w:pPr>
      <w:bookmarkStart w:id="141" w:name="_Toc6152"/>
      <w:r>
        <w:rPr>
          <w:rFonts w:hint="eastAsia" w:ascii="仿宋" w:hAnsi="仿宋" w:eastAsia="仿宋" w:cs="仿宋"/>
          <w:b/>
          <w:sz w:val="24"/>
        </w:rPr>
        <w:t>三、质量要求</w:t>
      </w:r>
      <w:bookmarkEnd w:id="141"/>
      <w:r>
        <w:rPr>
          <w:rFonts w:hint="eastAsia" w:ascii="仿宋" w:hAnsi="仿宋" w:eastAsia="仿宋" w:cs="仿宋"/>
          <w:b/>
          <w:sz w:val="24"/>
        </w:rPr>
        <w:tab/>
      </w:r>
    </w:p>
    <w:p w14:paraId="3E5FC529">
      <w:pPr>
        <w:spacing w:line="360" w:lineRule="auto"/>
        <w:ind w:firstLine="480" w:firstLineChars="200"/>
        <w:rPr>
          <w:rFonts w:hint="eastAsia" w:ascii="仿宋" w:hAnsi="仿宋" w:eastAsia="仿宋" w:cs="仿宋"/>
          <w:sz w:val="24"/>
        </w:rPr>
      </w:pPr>
      <w:bookmarkStart w:id="142" w:name="_Toc16576"/>
      <w:r>
        <w:rPr>
          <w:rFonts w:hint="eastAsia" w:ascii="仿宋" w:hAnsi="仿宋" w:eastAsia="仿宋" w:cs="仿宋"/>
          <w:sz w:val="24"/>
        </w:rPr>
        <w:t>1.乙方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乙方提供的货物需符合环保的相关要求。</w:t>
      </w:r>
    </w:p>
    <w:p w14:paraId="2E8E49B6">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2.乙方提供的产品必须符合或优于国家标准、行业标准、地方标准等标准、规范，以及谈判文件的质量要求和技术指标与出厂标准。</w:t>
      </w:r>
    </w:p>
    <w:p w14:paraId="550D4FBE">
      <w:pPr>
        <w:spacing w:line="360" w:lineRule="auto"/>
        <w:ind w:firstLine="480" w:firstLineChars="200"/>
        <w:rPr>
          <w:rFonts w:hint="eastAsia" w:ascii="仿宋" w:hAnsi="仿宋" w:eastAsia="仿宋" w:cs="仿宋"/>
          <w:sz w:val="24"/>
        </w:rPr>
      </w:pPr>
      <w:r>
        <w:rPr>
          <w:rFonts w:hint="eastAsia" w:ascii="仿宋" w:hAnsi="仿宋" w:eastAsia="仿宋" w:cs="仿宋"/>
          <w:sz w:val="24"/>
        </w:rPr>
        <w:t>3.货物质量出现问题，乙方应负责三包(包修、包换、包退)，费用由乙方负担，甲方有权到产品生产厂家生产场地检查货物质量和生产进度。</w:t>
      </w:r>
    </w:p>
    <w:p w14:paraId="7FBEEA46">
      <w:pPr>
        <w:spacing w:line="360" w:lineRule="auto"/>
        <w:ind w:firstLine="480" w:firstLineChars="200"/>
        <w:rPr>
          <w:rFonts w:hint="eastAsia" w:ascii="仿宋" w:hAnsi="仿宋" w:eastAsia="仿宋" w:cs="仿宋"/>
          <w:sz w:val="24"/>
        </w:rPr>
      </w:pPr>
      <w:r>
        <w:rPr>
          <w:rFonts w:hint="eastAsia" w:ascii="仿宋" w:hAnsi="仿宋" w:eastAsia="仿宋" w:cs="仿宋"/>
          <w:sz w:val="24"/>
        </w:rPr>
        <w:t>4.货到现场交付完成后由于甲方保管不当造成的质量问题，乙方亦应负责修理，但费用由甲方负担。</w:t>
      </w:r>
    </w:p>
    <w:p w14:paraId="2A841A9A">
      <w:pPr>
        <w:spacing w:line="360" w:lineRule="auto"/>
        <w:ind w:firstLine="472" w:firstLineChars="196"/>
        <w:outlineLvl w:val="1"/>
        <w:rPr>
          <w:rFonts w:hint="eastAsia" w:ascii="仿宋" w:hAnsi="仿宋" w:eastAsia="仿宋" w:cs="仿宋"/>
          <w:b/>
          <w:sz w:val="24"/>
        </w:rPr>
      </w:pPr>
      <w:r>
        <w:rPr>
          <w:rFonts w:hint="eastAsia" w:ascii="仿宋" w:hAnsi="仿宋" w:eastAsia="仿宋" w:cs="仿宋"/>
          <w:b/>
          <w:sz w:val="24"/>
        </w:rPr>
        <w:t>四、交货及验收</w:t>
      </w:r>
      <w:bookmarkEnd w:id="142"/>
    </w:p>
    <w:p w14:paraId="13C09E61">
      <w:pPr>
        <w:spacing w:line="360" w:lineRule="auto"/>
        <w:ind w:firstLine="480" w:firstLineChars="200"/>
        <w:rPr>
          <w:rFonts w:hint="eastAsia" w:ascii="仿宋" w:hAnsi="仿宋" w:eastAsia="仿宋" w:cs="仿宋"/>
          <w:sz w:val="24"/>
        </w:rPr>
      </w:pPr>
      <w:r>
        <w:rPr>
          <w:rFonts w:hint="eastAsia" w:ascii="仿宋" w:hAnsi="仿宋" w:eastAsia="仿宋" w:cs="仿宋"/>
          <w:sz w:val="24"/>
        </w:rPr>
        <w:t>供货期限：合同签订后一年</w:t>
      </w:r>
      <w:r>
        <w:rPr>
          <w:rFonts w:hint="eastAsia" w:ascii="仿宋" w:hAnsi="仿宋" w:eastAsia="仿宋" w:cs="仿宋"/>
          <w:sz w:val="24"/>
          <w:lang w:eastAsia="zh-CN"/>
        </w:rPr>
        <w:t>，即</w:t>
      </w:r>
      <w:r>
        <w:rPr>
          <w:rFonts w:hint="eastAsia" w:ascii="仿宋" w:hAnsi="仿宋" w:eastAsia="仿宋" w:cs="仿宋"/>
          <w:sz w:val="24"/>
          <w:lang w:val="en-US" w:eastAsia="zh-CN"/>
        </w:rPr>
        <w:t xml:space="preserve">     年   月   日至     年   月  日</w:t>
      </w:r>
      <w:r>
        <w:rPr>
          <w:rFonts w:hint="eastAsia" w:ascii="仿宋" w:hAnsi="仿宋" w:eastAsia="仿宋" w:cs="仿宋"/>
          <w:sz w:val="24"/>
        </w:rPr>
        <w:t>。</w:t>
      </w:r>
      <w:r>
        <w:rPr>
          <w:rFonts w:hint="eastAsia" w:ascii="仿宋" w:hAnsi="仿宋" w:eastAsia="仿宋" w:cs="仿宋"/>
          <w:sz w:val="24"/>
          <w:lang w:val="en-US" w:eastAsia="zh-CN"/>
        </w:rPr>
        <w:t>合同时间到期或产生金额达到成交金额中任意一个条件，合同自行终止。</w:t>
      </w:r>
    </w:p>
    <w:p w14:paraId="4CA6A688">
      <w:pPr>
        <w:spacing w:line="360" w:lineRule="auto"/>
        <w:ind w:firstLine="480" w:firstLineChars="200"/>
        <w:rPr>
          <w:rFonts w:hint="eastAsia" w:ascii="仿宋" w:hAnsi="仿宋" w:eastAsia="仿宋" w:cs="仿宋"/>
          <w:sz w:val="24"/>
        </w:rPr>
      </w:pPr>
      <w:r>
        <w:rPr>
          <w:rFonts w:hint="eastAsia" w:ascii="仿宋" w:hAnsi="仿宋" w:eastAsia="仿宋" w:cs="仿宋"/>
          <w:sz w:val="24"/>
        </w:rPr>
        <w:t>交货地点：富顺县中医医院指定地点（含富达路院区、东区分院和其他临时地点）。</w:t>
      </w:r>
    </w:p>
    <w:p w14:paraId="315F8FA9">
      <w:pPr>
        <w:spacing w:line="360" w:lineRule="auto"/>
        <w:ind w:firstLine="480" w:firstLineChars="200"/>
        <w:rPr>
          <w:rFonts w:hint="eastAsia" w:ascii="仿宋" w:hAnsi="仿宋" w:eastAsia="仿宋" w:cs="仿宋"/>
          <w:sz w:val="24"/>
        </w:rPr>
      </w:pPr>
      <w:r>
        <w:rPr>
          <w:rFonts w:hint="eastAsia" w:ascii="仿宋" w:hAnsi="仿宋" w:eastAsia="仿宋" w:cs="仿宋"/>
          <w:sz w:val="24"/>
        </w:rPr>
        <w:t>（一）交货</w:t>
      </w:r>
    </w:p>
    <w:p w14:paraId="3C0F1708">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乙方交货期限为合同签订生效后。接医院电话通知起，24小时内将货物送至医院内指定地点并灌装完成（含富达路院区、东区分院和其他临时地点）。交货验收时须提供产品合格证明资料。</w:t>
      </w:r>
    </w:p>
    <w:p w14:paraId="4E054F1B">
      <w:pPr>
        <w:spacing w:line="360" w:lineRule="auto"/>
        <w:ind w:firstLine="480" w:firstLineChars="200"/>
        <w:rPr>
          <w:rFonts w:hint="eastAsia" w:ascii="仿宋" w:hAnsi="仿宋" w:eastAsia="仿宋" w:cs="仿宋"/>
          <w:b w:val="0"/>
          <w:bCs w:val="0"/>
          <w:color w:val="000000" w:themeColor="text1"/>
          <w:sz w:val="24"/>
          <w14:textFill>
            <w14:solidFill>
              <w14:schemeClr w14:val="tx1"/>
            </w14:solidFill>
          </w14:textFill>
        </w:rPr>
      </w:pPr>
      <w:r>
        <w:rPr>
          <w:rFonts w:hint="eastAsia" w:ascii="仿宋" w:hAnsi="仿宋" w:eastAsia="仿宋" w:cs="仿宋"/>
          <w:b w:val="0"/>
          <w:bCs w:val="0"/>
          <w:color w:val="000000" w:themeColor="text1"/>
          <w:sz w:val="24"/>
          <w14:textFill>
            <w14:solidFill>
              <w14:schemeClr w14:val="tx1"/>
            </w14:solidFill>
          </w14:textFill>
        </w:rPr>
        <w:t>（二）验收</w:t>
      </w:r>
    </w:p>
    <w:p w14:paraId="4A5F1E67">
      <w:pPr>
        <w:spacing w:line="360" w:lineRule="auto"/>
        <w:ind w:firstLine="480" w:firstLineChars="200"/>
        <w:rPr>
          <w:rFonts w:hint="eastAsia" w:ascii="仿宋" w:hAnsi="仿宋" w:eastAsia="仿宋" w:cs="仿宋"/>
          <w:sz w:val="24"/>
        </w:rPr>
      </w:pPr>
      <w:r>
        <w:rPr>
          <w:rFonts w:hint="eastAsia" w:ascii="仿宋" w:hAnsi="仿宋" w:eastAsia="仿宋" w:cs="仿宋"/>
          <w:sz w:val="24"/>
        </w:rPr>
        <w:t>1、验收标准：按国家有关规定以及甲方询价文件的质量要求和技术指标、乙方的响应文件及承诺与本合同约定标准进行验收；甲乙双方如对质量要求和技术指标的约定标准有相互抵触或异议的事项，由甲方在询价文件及响应文件中按质量要求和技术指标确定该项的约定标准进行验收；</w:t>
      </w:r>
    </w:p>
    <w:p w14:paraId="612DB40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2、验收时如发现所交付的货物有短装、次品、损坏或其它不符合标准及本合同规定之情形者。甲方有权退换货，若因货物不合格造成医院损失和第三方损失，均由乙方负责，甲方还可依法追究乙方的违约责任。</w:t>
      </w:r>
    </w:p>
    <w:p w14:paraId="378DAE45">
      <w:pPr>
        <w:spacing w:line="360" w:lineRule="auto"/>
        <w:ind w:firstLine="480" w:firstLineChars="200"/>
        <w:rPr>
          <w:rFonts w:hint="eastAsia" w:ascii="仿宋" w:hAnsi="仿宋" w:eastAsia="仿宋" w:cs="仿宋"/>
          <w:b/>
          <w:sz w:val="24"/>
        </w:rPr>
      </w:pPr>
      <w:r>
        <w:rPr>
          <w:rFonts w:hint="eastAsia" w:ascii="仿宋" w:hAnsi="仿宋" w:eastAsia="仿宋" w:cs="仿宋"/>
          <w:sz w:val="24"/>
          <w:lang w:val="en-US" w:eastAsia="zh-CN"/>
        </w:rPr>
        <w:t>3</w:t>
      </w:r>
      <w:r>
        <w:rPr>
          <w:rFonts w:hint="eastAsia" w:ascii="仿宋" w:hAnsi="仿宋" w:eastAsia="仿宋" w:cs="仿宋"/>
          <w:sz w:val="24"/>
        </w:rPr>
        <w:t>.其他未尽事宜应严格按照采购相关法律法规要求进行。 </w:t>
      </w:r>
    </w:p>
    <w:p w14:paraId="45911981">
      <w:pPr>
        <w:spacing w:line="360" w:lineRule="auto"/>
        <w:ind w:firstLine="472" w:firstLineChars="196"/>
        <w:outlineLvl w:val="1"/>
        <w:rPr>
          <w:rFonts w:hint="eastAsia" w:ascii="仿宋" w:hAnsi="仿宋" w:eastAsia="仿宋" w:cs="仿宋"/>
          <w:b/>
          <w:sz w:val="24"/>
        </w:rPr>
      </w:pPr>
      <w:bookmarkStart w:id="143" w:name="_Toc12674"/>
      <w:r>
        <w:rPr>
          <w:rFonts w:hint="eastAsia" w:ascii="仿宋" w:hAnsi="仿宋" w:eastAsia="仿宋" w:cs="仿宋"/>
          <w:b/>
          <w:sz w:val="24"/>
        </w:rPr>
        <w:t>五、付款方式</w:t>
      </w:r>
      <w:bookmarkEnd w:id="143"/>
    </w:p>
    <w:p w14:paraId="7A9E502B">
      <w:pPr>
        <w:spacing w:line="360" w:lineRule="auto"/>
        <w:ind w:firstLine="480" w:firstLineChars="200"/>
        <w:rPr>
          <w:rFonts w:hint="eastAsia" w:ascii="仿宋" w:hAnsi="仿宋" w:eastAsia="仿宋" w:cs="仿宋"/>
          <w:sz w:val="24"/>
        </w:rPr>
      </w:pPr>
      <w:bookmarkStart w:id="144" w:name="_Toc19374"/>
      <w:r>
        <w:rPr>
          <w:rFonts w:hint="eastAsia" w:ascii="仿宋" w:hAnsi="仿宋" w:eastAsia="仿宋" w:cs="仿宋"/>
          <w:sz w:val="24"/>
        </w:rPr>
        <w:t>1.合同签订后，货款结算方式：按月实际用量结算，次月收到发票后30日内，支付上月结算货款。</w:t>
      </w:r>
    </w:p>
    <w:p w14:paraId="14D92B0A">
      <w:pPr>
        <w:spacing w:line="360" w:lineRule="auto"/>
        <w:ind w:firstLine="480" w:firstLineChars="200"/>
        <w:outlineLvl w:val="1"/>
        <w:rPr>
          <w:rFonts w:hint="eastAsia" w:ascii="仿宋" w:hAnsi="仿宋" w:eastAsia="仿宋" w:cs="仿宋"/>
          <w:sz w:val="24"/>
        </w:rPr>
      </w:pPr>
      <w:r>
        <w:rPr>
          <w:rFonts w:hint="eastAsia" w:ascii="仿宋" w:hAnsi="仿宋" w:eastAsia="仿宋" w:cs="仿宋"/>
          <w:sz w:val="24"/>
        </w:rPr>
        <w:t>2.付款前，乙方须向甲方出具合法有效完整的发票及凭证资料后进行支付结算，付款方式均采用公对公的银行转账，甲方接受转账的开户信息以合同载明的为准。如因乙方未按照要求提供合法有效的发票导致逾期付款的，不视为甲方违约，甲方不承担任何责任。</w:t>
      </w:r>
    </w:p>
    <w:p w14:paraId="0BF1AB0F">
      <w:pPr>
        <w:spacing w:line="360" w:lineRule="auto"/>
        <w:ind w:firstLine="482" w:firstLineChars="200"/>
        <w:outlineLvl w:val="1"/>
        <w:rPr>
          <w:rFonts w:hint="eastAsia" w:ascii="仿宋" w:hAnsi="仿宋" w:eastAsia="仿宋" w:cs="仿宋"/>
          <w:b/>
          <w:sz w:val="24"/>
        </w:rPr>
      </w:pPr>
      <w:r>
        <w:rPr>
          <w:rFonts w:hint="eastAsia" w:ascii="仿宋" w:hAnsi="仿宋" w:eastAsia="仿宋" w:cs="仿宋"/>
          <w:b/>
          <w:sz w:val="24"/>
        </w:rPr>
        <w:t>六、售后服务</w:t>
      </w:r>
      <w:bookmarkEnd w:id="144"/>
    </w:p>
    <w:p w14:paraId="4E9CA5CC">
      <w:pPr>
        <w:pStyle w:val="2"/>
        <w:spacing w:after="0"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1、供应商提供医院污水处理消毒药剂的加药及储药装置，并负责污水处理设备的保养、维护、维修并提供维保方案。</w:t>
      </w:r>
    </w:p>
    <w:p w14:paraId="2C5E7814">
      <w:pPr>
        <w:pStyle w:val="2"/>
        <w:spacing w:after="0" w:line="360" w:lineRule="auto"/>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货物应满足医院环保要求，接到医院的电话通知，10分钟响应，半小时到医院现场。供应商需在12小时内解决医院污水出现异常问题，在线监测仪如出现异常问题需维修，则根据市场价核定材料费500元以内供应商免费解决，500元以上只收取材料费并在24</w:t>
      </w:r>
      <w:r>
        <w:rPr>
          <w:rFonts w:hint="eastAsia" w:ascii="仿宋" w:hAnsi="仿宋" w:eastAsia="仿宋" w:cs="仿宋"/>
          <w:color w:val="000000" w:themeColor="text1"/>
          <w:sz w:val="24"/>
          <w:szCs w:val="24"/>
          <w14:textFill>
            <w14:solidFill>
              <w14:schemeClr w14:val="tx1"/>
            </w14:solidFill>
          </w14:textFill>
        </w:rPr>
        <w:t>小时内完成维修。污水处理设备免费保养、维护。</w:t>
      </w:r>
    </w:p>
    <w:p w14:paraId="1A43DC98">
      <w:pPr>
        <w:wordWrap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3、乙方应当按照约定的方式交付标的物。供货商应据提供货物的特殊性进行符合相关要求的包装形式包装，且应当足以保护标的物且有利于节约资源，保护生态环境的包装方式。</w:t>
      </w:r>
    </w:p>
    <w:p w14:paraId="244B2217">
      <w:pPr>
        <w:spacing w:line="360" w:lineRule="auto"/>
        <w:ind w:firstLine="480" w:firstLineChars="200"/>
        <w:rPr>
          <w:rFonts w:hint="eastAsia" w:ascii="仿宋" w:hAnsi="仿宋" w:eastAsia="仿宋" w:cs="仿宋"/>
          <w:sz w:val="24"/>
        </w:rPr>
      </w:pPr>
      <w:r>
        <w:rPr>
          <w:rFonts w:hint="eastAsia" w:ascii="仿宋" w:hAnsi="仿宋" w:eastAsia="仿宋" w:cs="仿宋"/>
          <w:sz w:val="24"/>
        </w:rPr>
        <w:t>4.乙方须指派专人负责与甲方联系售后服务事宜。</w:t>
      </w:r>
    </w:p>
    <w:p w14:paraId="65F4ADD7">
      <w:pPr>
        <w:wordWrap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七、安全责任：</w:t>
      </w:r>
    </w:p>
    <w:p w14:paraId="57E0578A">
      <w:pPr>
        <w:wordWrap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供应商应按照提供货物的特殊性和化学品运输规范及相关要求，负责货物运输、灌装安全，若在运输和灌装中出现安全事故由供应商全面负责。</w:t>
      </w:r>
    </w:p>
    <w:p w14:paraId="217874BF">
      <w:pPr>
        <w:spacing w:line="360" w:lineRule="auto"/>
        <w:ind w:firstLine="482" w:firstLineChars="200"/>
        <w:outlineLvl w:val="1"/>
        <w:rPr>
          <w:rFonts w:hint="eastAsia" w:ascii="仿宋" w:hAnsi="仿宋" w:eastAsia="仿宋" w:cs="仿宋"/>
          <w:b/>
          <w:sz w:val="24"/>
        </w:rPr>
      </w:pPr>
      <w:bookmarkStart w:id="145" w:name="_Toc28736"/>
      <w:r>
        <w:rPr>
          <w:rFonts w:hint="eastAsia" w:ascii="仿宋" w:hAnsi="仿宋" w:eastAsia="仿宋" w:cs="仿宋"/>
          <w:b/>
          <w:sz w:val="24"/>
          <w:lang w:eastAsia="zh-CN"/>
        </w:rPr>
        <w:t>八</w:t>
      </w:r>
      <w:r>
        <w:rPr>
          <w:rFonts w:hint="eastAsia" w:ascii="仿宋" w:hAnsi="仿宋" w:eastAsia="仿宋" w:cs="仿宋"/>
          <w:b/>
          <w:sz w:val="24"/>
        </w:rPr>
        <w:t>、违约责任</w:t>
      </w:r>
      <w:bookmarkEnd w:id="145"/>
    </w:p>
    <w:p w14:paraId="78792BAA">
      <w:pPr>
        <w:spacing w:line="360" w:lineRule="auto"/>
        <w:ind w:firstLine="480" w:firstLineChars="200"/>
        <w:rPr>
          <w:rFonts w:hint="eastAsia" w:ascii="仿宋" w:hAnsi="仿宋" w:eastAsia="仿宋" w:cs="仿宋"/>
          <w:sz w:val="24"/>
        </w:rPr>
      </w:pPr>
      <w:r>
        <w:rPr>
          <w:rFonts w:hint="eastAsia" w:ascii="仿宋" w:hAnsi="仿宋" w:eastAsia="仿宋" w:cs="仿宋"/>
          <w:sz w:val="24"/>
        </w:rPr>
        <w:t>1.甲方违约责任</w:t>
      </w:r>
    </w:p>
    <w:p w14:paraId="1110C1B8">
      <w:pPr>
        <w:spacing w:line="360" w:lineRule="auto"/>
        <w:ind w:firstLine="480" w:firstLineChars="200"/>
        <w:rPr>
          <w:rFonts w:hint="eastAsia" w:ascii="仿宋" w:hAnsi="仿宋" w:eastAsia="仿宋" w:cs="仿宋"/>
          <w:sz w:val="24"/>
        </w:rPr>
      </w:pPr>
      <w:r>
        <w:rPr>
          <w:rFonts w:hint="eastAsia" w:ascii="仿宋" w:hAnsi="仿宋" w:eastAsia="仿宋" w:cs="仿宋"/>
          <w:sz w:val="24"/>
        </w:rPr>
        <w:t>（1）甲方无正当理由拒收货物的，甲方应偿付合同总价百分之</w:t>
      </w:r>
      <w:r>
        <w:rPr>
          <w:rFonts w:hint="eastAsia" w:ascii="仿宋" w:hAnsi="仿宋" w:eastAsia="仿宋" w:cs="仿宋"/>
          <w:sz w:val="24"/>
          <w:lang w:val="en-US" w:eastAsia="zh-CN"/>
        </w:rPr>
        <w:t>一</w:t>
      </w:r>
      <w:r>
        <w:rPr>
          <w:rFonts w:hint="eastAsia" w:ascii="仿宋" w:hAnsi="仿宋" w:eastAsia="仿宋" w:cs="仿宋"/>
          <w:sz w:val="24"/>
        </w:rPr>
        <w:t>的违约金；</w:t>
      </w:r>
    </w:p>
    <w:p w14:paraId="5CC683ED">
      <w:pPr>
        <w:spacing w:line="360" w:lineRule="auto"/>
        <w:ind w:firstLine="480" w:firstLineChars="200"/>
        <w:rPr>
          <w:rFonts w:hint="eastAsia" w:ascii="仿宋" w:hAnsi="仿宋" w:eastAsia="仿宋" w:cs="仿宋"/>
          <w:sz w:val="24"/>
        </w:rPr>
      </w:pPr>
      <w:r>
        <w:rPr>
          <w:rFonts w:hint="eastAsia" w:ascii="仿宋" w:hAnsi="仿宋" w:eastAsia="仿宋" w:cs="仿宋"/>
          <w:sz w:val="24"/>
        </w:rPr>
        <w:t>（2）甲方逾期支付货款的，除应及时付足货款外，应向乙方偿付欠款总额万分之</w:t>
      </w:r>
      <w:r>
        <w:rPr>
          <w:rFonts w:hint="eastAsia" w:ascii="仿宋" w:hAnsi="仿宋" w:eastAsia="仿宋" w:cs="仿宋"/>
          <w:sz w:val="24"/>
          <w:lang w:val="en-US" w:eastAsia="zh-CN"/>
        </w:rPr>
        <w:t>一</w:t>
      </w:r>
      <w:r>
        <w:rPr>
          <w:rFonts w:hint="eastAsia" w:ascii="仿宋" w:hAnsi="仿宋" w:eastAsia="仿宋" w:cs="仿宋"/>
          <w:sz w:val="24"/>
        </w:rPr>
        <w:t>/天的违约金；逾期付款超过</w:t>
      </w:r>
      <w:r>
        <w:rPr>
          <w:rFonts w:hint="eastAsia" w:ascii="仿宋" w:hAnsi="仿宋" w:eastAsia="仿宋" w:cs="仿宋"/>
          <w:sz w:val="24"/>
          <w:lang w:val="en-US" w:eastAsia="zh-CN"/>
        </w:rPr>
        <w:t>15</w:t>
      </w:r>
      <w:r>
        <w:rPr>
          <w:rFonts w:hint="eastAsia" w:ascii="仿宋" w:hAnsi="仿宋" w:eastAsia="仿宋" w:cs="仿宋"/>
          <w:sz w:val="24"/>
        </w:rPr>
        <w:t>天的，乙方有权终止合同；</w:t>
      </w:r>
    </w:p>
    <w:p w14:paraId="2442FCBB">
      <w:pPr>
        <w:spacing w:line="360" w:lineRule="auto"/>
        <w:ind w:firstLine="480" w:firstLineChars="200"/>
        <w:rPr>
          <w:rFonts w:hint="eastAsia" w:ascii="仿宋" w:hAnsi="仿宋" w:eastAsia="仿宋" w:cs="仿宋"/>
          <w:sz w:val="24"/>
        </w:rPr>
      </w:pPr>
      <w:r>
        <w:rPr>
          <w:rFonts w:hint="eastAsia" w:ascii="仿宋" w:hAnsi="仿宋" w:eastAsia="仿宋" w:cs="仿宋"/>
          <w:sz w:val="24"/>
        </w:rPr>
        <w:t>（3）甲方偿付的违约金不足以弥补乙方损失的，还应按乙方损失尚未弥补的部分，支付赔偿金给乙方。</w:t>
      </w:r>
    </w:p>
    <w:p w14:paraId="0427AAB1">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2.乙方违约责任</w:t>
      </w:r>
    </w:p>
    <w:p w14:paraId="3326B059">
      <w:pPr>
        <w:spacing w:line="360" w:lineRule="auto"/>
        <w:ind w:firstLine="480" w:firstLineChars="200"/>
        <w:rPr>
          <w:rFonts w:hint="eastAsia" w:ascii="仿宋" w:hAnsi="仿宋" w:eastAsia="仿宋" w:cs="仿宋"/>
          <w:sz w:val="24"/>
        </w:rPr>
      </w:pPr>
      <w:r>
        <w:rPr>
          <w:rFonts w:hint="eastAsia" w:ascii="仿宋" w:hAnsi="仿宋" w:eastAsia="仿宋" w:cs="仿宋"/>
          <w:sz w:val="24"/>
        </w:rPr>
        <w:t>（1）乙方交付的货物质量不符合合同规定的，乙方应向甲方支付合同总价的百分之</w:t>
      </w:r>
      <w:r>
        <w:rPr>
          <w:rFonts w:hint="eastAsia" w:ascii="仿宋" w:hAnsi="仿宋" w:eastAsia="仿宋" w:cs="仿宋"/>
          <w:sz w:val="24"/>
          <w:lang w:val="en-US" w:eastAsia="zh-CN"/>
        </w:rPr>
        <w:t>一</w:t>
      </w:r>
      <w:r>
        <w:rPr>
          <w:rFonts w:hint="eastAsia" w:ascii="仿宋" w:hAnsi="仿宋" w:eastAsia="仿宋" w:cs="仿宋"/>
          <w:sz w:val="24"/>
        </w:rPr>
        <w:t>的违约金，并须在合同规定的交货时间内更换合格的货物给甲方，否则，视作乙方不能交付货物而违约，按本条本款下述第“（2）”项规定由乙方偿付违约赔偿金给甲方。</w:t>
      </w:r>
    </w:p>
    <w:p w14:paraId="07EB8AB8">
      <w:pPr>
        <w:spacing w:line="360" w:lineRule="auto"/>
        <w:ind w:firstLine="480" w:firstLineChars="200"/>
        <w:rPr>
          <w:rFonts w:hint="eastAsia" w:ascii="仿宋" w:hAnsi="仿宋" w:eastAsia="仿宋" w:cs="仿宋"/>
          <w:sz w:val="24"/>
        </w:rPr>
      </w:pPr>
      <w:r>
        <w:rPr>
          <w:rFonts w:hint="eastAsia" w:ascii="仿宋" w:hAnsi="仿宋" w:eastAsia="仿宋" w:cs="仿宋"/>
          <w:sz w:val="24"/>
        </w:rPr>
        <w:t>（2）乙方不能交付货物或逾期交付货物而违约的，除应及时交足货物外，应向甲方偿付逾期交货部分货款总额的万分之</w:t>
      </w:r>
      <w:r>
        <w:rPr>
          <w:rFonts w:hint="eastAsia" w:ascii="仿宋" w:hAnsi="仿宋" w:eastAsia="仿宋" w:cs="仿宋"/>
          <w:sz w:val="24"/>
          <w:lang w:val="en-US" w:eastAsia="zh-CN"/>
        </w:rPr>
        <w:t>一</w:t>
      </w:r>
      <w:r>
        <w:rPr>
          <w:rFonts w:hint="eastAsia" w:ascii="仿宋" w:hAnsi="仿宋" w:eastAsia="仿宋" w:cs="仿宋"/>
          <w:sz w:val="24"/>
        </w:rPr>
        <w:t>/天的违约金；逾期交货超过</w:t>
      </w:r>
      <w:r>
        <w:rPr>
          <w:rFonts w:hint="eastAsia" w:ascii="仿宋" w:hAnsi="仿宋" w:eastAsia="仿宋" w:cs="仿宋"/>
          <w:sz w:val="24"/>
          <w:szCs w:val="24"/>
          <w:lang w:val="en-US" w:eastAsia="zh-CN"/>
        </w:rPr>
        <w:t>15</w:t>
      </w:r>
      <w:r>
        <w:rPr>
          <w:rFonts w:hint="eastAsia" w:ascii="仿宋" w:hAnsi="仿宋" w:eastAsia="仿宋" w:cs="仿宋"/>
          <w:sz w:val="24"/>
        </w:rPr>
        <w:t>天，甲方有权终止合同，乙方则应按合同总价的百分之</w:t>
      </w:r>
      <w:r>
        <w:rPr>
          <w:rFonts w:hint="eastAsia" w:ascii="仿宋" w:hAnsi="仿宋" w:eastAsia="仿宋" w:cs="仿宋"/>
          <w:sz w:val="24"/>
          <w:lang w:val="en-US" w:eastAsia="zh-CN"/>
        </w:rPr>
        <w:t>一</w:t>
      </w:r>
      <w:r>
        <w:rPr>
          <w:rFonts w:hint="eastAsia" w:ascii="仿宋" w:hAnsi="仿宋" w:eastAsia="仿宋" w:cs="仿宋"/>
          <w:sz w:val="24"/>
        </w:rPr>
        <w:t>的款额向甲方偿付赔偿金，并须全额退还甲方已经付给乙方的货款及其利息。</w:t>
      </w:r>
    </w:p>
    <w:p w14:paraId="6C94B6CA">
      <w:pPr>
        <w:spacing w:line="360" w:lineRule="auto"/>
        <w:ind w:firstLine="480" w:firstLineChars="200"/>
        <w:rPr>
          <w:rFonts w:hint="eastAsia" w:ascii="仿宋" w:hAnsi="仿宋" w:eastAsia="仿宋" w:cs="仿宋"/>
          <w:sz w:val="24"/>
        </w:rPr>
      </w:pPr>
      <w:r>
        <w:rPr>
          <w:rFonts w:hint="eastAsia" w:ascii="仿宋" w:hAnsi="仿宋" w:eastAsia="仿宋" w:cs="仿宋"/>
          <w:sz w:val="24"/>
        </w:rPr>
        <w:t>（3）乙方货物经甲方送交具有法定资格条件的质量技术监督机构检测后，如检测结果认定货物质量不符合本合同规定标准的，则视为乙方没有按时交货而违约，乙方须在</w:t>
      </w:r>
      <w:r>
        <w:rPr>
          <w:rFonts w:hint="eastAsia" w:ascii="仿宋" w:hAnsi="仿宋" w:eastAsia="仿宋" w:cs="仿宋"/>
          <w:sz w:val="24"/>
          <w:lang w:val="en-US" w:eastAsia="zh-CN"/>
        </w:rPr>
        <w:t>7</w:t>
      </w:r>
      <w:r>
        <w:rPr>
          <w:rFonts w:hint="eastAsia" w:ascii="仿宋" w:hAnsi="仿宋" w:eastAsia="仿宋" w:cs="仿宋"/>
          <w:sz w:val="24"/>
        </w:rPr>
        <w:t>天内无条件更换合格的货物，如逾期不能更换合格的货物，甲方有权终止本合同，乙方应另付合同总价的百分之</w:t>
      </w:r>
      <w:r>
        <w:rPr>
          <w:rFonts w:hint="eastAsia" w:ascii="仿宋" w:hAnsi="仿宋" w:eastAsia="仿宋" w:cs="仿宋"/>
          <w:sz w:val="24"/>
          <w:lang w:val="en-US" w:eastAsia="zh-CN"/>
        </w:rPr>
        <w:t>一</w:t>
      </w:r>
      <w:r>
        <w:rPr>
          <w:rFonts w:hint="eastAsia" w:ascii="仿宋" w:hAnsi="仿宋" w:eastAsia="仿宋" w:cs="仿宋"/>
          <w:sz w:val="24"/>
        </w:rPr>
        <w:t>的赔偿金给甲方。</w:t>
      </w:r>
    </w:p>
    <w:p w14:paraId="5D75DF80">
      <w:pPr>
        <w:spacing w:line="360" w:lineRule="auto"/>
        <w:ind w:firstLine="480" w:firstLineChars="200"/>
        <w:rPr>
          <w:rFonts w:hint="eastAsia" w:ascii="仿宋" w:hAnsi="仿宋" w:eastAsia="仿宋" w:cs="仿宋"/>
          <w:sz w:val="24"/>
        </w:rPr>
      </w:pPr>
      <w:r>
        <w:rPr>
          <w:rFonts w:hint="eastAsia" w:ascii="仿宋" w:hAnsi="仿宋" w:eastAsia="仿宋" w:cs="仿宋"/>
          <w:sz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 w:hAnsi="仿宋" w:eastAsia="仿宋" w:cs="仿宋"/>
          <w:sz w:val="24"/>
          <w:lang w:val="en-US" w:eastAsia="zh-CN"/>
        </w:rPr>
        <w:t>一</w:t>
      </w:r>
      <w:r>
        <w:rPr>
          <w:rFonts w:hint="eastAsia" w:ascii="仿宋" w:hAnsi="仿宋" w:eastAsia="仿宋" w:cs="仿宋"/>
          <w:sz w:val="24"/>
        </w:rPr>
        <w:t>向甲方支付违约金。</w:t>
      </w:r>
    </w:p>
    <w:p w14:paraId="6D40EFFE">
      <w:pPr>
        <w:spacing w:line="360" w:lineRule="auto"/>
        <w:ind w:firstLine="480" w:firstLineChars="200"/>
        <w:rPr>
          <w:rFonts w:hint="eastAsia" w:ascii="仿宋" w:hAnsi="仿宋" w:eastAsia="仿宋" w:cs="仿宋"/>
          <w:b/>
          <w:sz w:val="24"/>
        </w:rPr>
      </w:pPr>
      <w:r>
        <w:rPr>
          <w:rFonts w:hint="eastAsia" w:ascii="仿宋" w:hAnsi="仿宋" w:eastAsia="仿宋" w:cs="仿宋"/>
          <w:sz w:val="24"/>
        </w:rPr>
        <w:t>（5）乙方偿付的违约金不足以弥补甲方损失的，还应按甲方损失尚未弥补的部分，支付赔偿金给甲方。</w:t>
      </w:r>
    </w:p>
    <w:p w14:paraId="6ABA5C19">
      <w:pPr>
        <w:spacing w:line="360" w:lineRule="auto"/>
        <w:ind w:firstLine="479" w:firstLineChars="199"/>
        <w:outlineLvl w:val="1"/>
        <w:rPr>
          <w:rFonts w:hint="eastAsia" w:ascii="仿宋" w:hAnsi="仿宋" w:eastAsia="仿宋" w:cs="仿宋"/>
          <w:b/>
          <w:sz w:val="24"/>
        </w:rPr>
      </w:pPr>
      <w:bookmarkStart w:id="146" w:name="_Toc16377"/>
      <w:r>
        <w:rPr>
          <w:rFonts w:hint="eastAsia" w:ascii="仿宋" w:hAnsi="仿宋" w:eastAsia="仿宋" w:cs="仿宋"/>
          <w:b/>
          <w:sz w:val="24"/>
          <w:lang w:eastAsia="zh-CN"/>
        </w:rPr>
        <w:t>九</w:t>
      </w:r>
      <w:r>
        <w:rPr>
          <w:rFonts w:hint="eastAsia" w:ascii="仿宋" w:hAnsi="仿宋" w:eastAsia="仿宋" w:cs="仿宋"/>
          <w:b/>
          <w:sz w:val="24"/>
        </w:rPr>
        <w:t>、争议解决办法</w:t>
      </w:r>
      <w:bookmarkEnd w:id="146"/>
    </w:p>
    <w:p w14:paraId="69AB9465">
      <w:pPr>
        <w:pStyle w:val="124"/>
        <w:spacing w:line="360" w:lineRule="auto"/>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合同履行期间,若双方发生争议，可协商或由有关部门调解解决，协商或调解不成的，向甲方所在地人民法院起诉。</w:t>
      </w:r>
    </w:p>
    <w:p w14:paraId="03EA9FB7">
      <w:pPr>
        <w:spacing w:line="360" w:lineRule="auto"/>
        <w:ind w:firstLine="482" w:firstLineChars="200"/>
        <w:outlineLvl w:val="1"/>
        <w:rPr>
          <w:rFonts w:hint="eastAsia" w:ascii="仿宋" w:hAnsi="仿宋" w:eastAsia="仿宋" w:cs="仿宋"/>
          <w:b/>
          <w:sz w:val="24"/>
        </w:rPr>
      </w:pPr>
      <w:bookmarkStart w:id="147" w:name="_Toc5235"/>
      <w:r>
        <w:rPr>
          <w:rFonts w:hint="eastAsia" w:ascii="仿宋" w:hAnsi="仿宋" w:eastAsia="仿宋" w:cs="仿宋"/>
          <w:b/>
          <w:sz w:val="24"/>
          <w:lang w:eastAsia="zh-CN"/>
        </w:rPr>
        <w:t>十</w:t>
      </w:r>
      <w:r>
        <w:rPr>
          <w:rFonts w:hint="eastAsia" w:ascii="仿宋" w:hAnsi="仿宋" w:eastAsia="仿宋" w:cs="仿宋"/>
          <w:b/>
          <w:sz w:val="24"/>
        </w:rPr>
        <w:t>、其他</w:t>
      </w:r>
      <w:bookmarkEnd w:id="147"/>
    </w:p>
    <w:p w14:paraId="0B5B5C43">
      <w:pPr>
        <w:spacing w:line="360" w:lineRule="auto"/>
        <w:ind w:firstLine="480" w:firstLineChars="200"/>
        <w:rPr>
          <w:rFonts w:hint="eastAsia" w:ascii="仿宋" w:hAnsi="仿宋" w:eastAsia="仿宋" w:cs="仿宋"/>
          <w:sz w:val="24"/>
        </w:rPr>
      </w:pPr>
      <w:r>
        <w:rPr>
          <w:rFonts w:hint="eastAsia" w:ascii="仿宋" w:hAnsi="仿宋" w:eastAsia="仿宋" w:cs="仿宋"/>
          <w:sz w:val="24"/>
        </w:rPr>
        <w:t>1.如有未尽事宜，由双方依法订立补充合同。</w:t>
      </w:r>
    </w:p>
    <w:p w14:paraId="426056E0">
      <w:pPr>
        <w:spacing w:line="360" w:lineRule="auto"/>
        <w:ind w:firstLine="480" w:firstLineChars="200"/>
        <w:rPr>
          <w:rFonts w:hint="eastAsia" w:ascii="仿宋" w:hAnsi="仿宋" w:eastAsia="仿宋" w:cs="仿宋"/>
          <w:sz w:val="24"/>
        </w:rPr>
      </w:pPr>
      <w:r>
        <w:rPr>
          <w:rFonts w:hint="eastAsia" w:ascii="仿宋" w:hAnsi="仿宋" w:eastAsia="仿宋" w:cs="仿宋"/>
          <w:sz w:val="24"/>
        </w:rPr>
        <w:t>2.本合同双方应加盖骑缝章。</w:t>
      </w:r>
    </w:p>
    <w:p w14:paraId="72563386">
      <w:pPr>
        <w:spacing w:line="360" w:lineRule="auto"/>
        <w:ind w:firstLine="480" w:firstLineChars="20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bCs/>
          <w:sz w:val="24"/>
        </w:rPr>
        <w:t>本合同一式伍份，自双方签章之日起起效。甲方叁份，乙方壹份，采购代理机构壹份，具有同等法律效力。</w:t>
      </w:r>
    </w:p>
    <w:tbl>
      <w:tblPr>
        <w:tblStyle w:val="24"/>
        <w:tblpPr w:leftFromText="180" w:rightFromText="180" w:vertAnchor="text" w:horzAnchor="page" w:tblpXSpec="center" w:tblpY="908"/>
        <w:tblOverlap w:val="never"/>
        <w:tblW w:w="5729"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18"/>
        <w:gridCol w:w="5106"/>
      </w:tblGrid>
      <w:tr w14:paraId="315A74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84" w:hRule="atLeast"/>
          <w:jc w:val="center"/>
        </w:trPr>
        <w:tc>
          <w:tcPr>
            <w:tcW w:w="2478" w:type="pct"/>
            <w:tcBorders>
              <w:top w:val="single" w:color="auto" w:sz="4" w:space="0"/>
              <w:left w:val="single" w:color="auto" w:sz="4" w:space="0"/>
              <w:bottom w:val="single" w:color="auto" w:sz="4" w:space="0"/>
              <w:right w:val="single" w:color="auto" w:sz="4" w:space="0"/>
            </w:tcBorders>
            <w:noWrap/>
            <w:vAlign w:val="top"/>
          </w:tcPr>
          <w:p w14:paraId="70B7F80F">
            <w:pPr>
              <w:spacing w:line="360" w:lineRule="auto"/>
              <w:rPr>
                <w:rFonts w:hint="eastAsia" w:ascii="仿宋" w:hAnsi="仿宋" w:eastAsia="仿宋" w:cs="仿宋"/>
                <w:sz w:val="24"/>
              </w:rPr>
            </w:pPr>
            <w:r>
              <w:rPr>
                <w:rFonts w:hint="eastAsia" w:ascii="仿宋" w:hAnsi="仿宋" w:eastAsia="仿宋" w:cs="仿宋"/>
                <w:sz w:val="24"/>
              </w:rPr>
              <w:t xml:space="preserve">甲方（盖章）：富顺县中医医院 </w:t>
            </w:r>
          </w:p>
          <w:p w14:paraId="6A78808E">
            <w:pPr>
              <w:spacing w:line="360" w:lineRule="auto"/>
              <w:rPr>
                <w:rFonts w:hint="eastAsia" w:ascii="仿宋" w:hAnsi="仿宋" w:eastAsia="仿宋" w:cs="仿宋"/>
                <w:sz w:val="24"/>
              </w:rPr>
            </w:pPr>
            <w:r>
              <w:rPr>
                <w:rFonts w:hint="eastAsia" w:ascii="仿宋" w:hAnsi="仿宋" w:eastAsia="仿宋" w:cs="仿宋"/>
                <w:sz w:val="24"/>
              </w:rPr>
              <w:t>甲方代表（签字）：</w:t>
            </w:r>
          </w:p>
          <w:p w14:paraId="66D50871">
            <w:pPr>
              <w:spacing w:line="360" w:lineRule="auto"/>
              <w:rPr>
                <w:rFonts w:hint="eastAsia" w:ascii="仿宋" w:hAnsi="仿宋" w:eastAsia="仿宋" w:cs="仿宋"/>
                <w:sz w:val="24"/>
              </w:rPr>
            </w:pPr>
            <w:r>
              <w:rPr>
                <w:rFonts w:hint="eastAsia" w:ascii="仿宋" w:hAnsi="仿宋" w:eastAsia="仿宋" w:cs="仿宋"/>
                <w:sz w:val="24"/>
              </w:rPr>
              <w:t xml:space="preserve">地址：富顺县东湖大道1801号 </w:t>
            </w:r>
          </w:p>
          <w:p w14:paraId="78676525">
            <w:pPr>
              <w:spacing w:line="360" w:lineRule="auto"/>
              <w:rPr>
                <w:rFonts w:hint="eastAsia" w:ascii="仿宋" w:hAnsi="仿宋" w:eastAsia="仿宋" w:cs="仿宋"/>
                <w:sz w:val="24"/>
              </w:rPr>
            </w:pPr>
            <w:r>
              <w:rPr>
                <w:rFonts w:hint="eastAsia" w:ascii="仿宋" w:hAnsi="仿宋" w:eastAsia="仿宋" w:cs="仿宋"/>
                <w:sz w:val="24"/>
              </w:rPr>
              <w:t>电话：0813-5197655</w:t>
            </w:r>
          </w:p>
          <w:p w14:paraId="7F1DC8C2">
            <w:pPr>
              <w:spacing w:line="360" w:lineRule="auto"/>
              <w:rPr>
                <w:rFonts w:hint="eastAsia" w:ascii="仿宋" w:hAnsi="仿宋" w:eastAsia="仿宋" w:cs="仿宋"/>
                <w:sz w:val="24"/>
              </w:rPr>
            </w:pPr>
            <w:r>
              <w:rPr>
                <w:rFonts w:hint="eastAsia" w:ascii="仿宋" w:hAnsi="仿宋" w:eastAsia="仿宋" w:cs="仿宋"/>
                <w:sz w:val="24"/>
              </w:rPr>
              <w:t>开户银行：四川富顺农村商业银行股份有限公司营业部</w:t>
            </w:r>
          </w:p>
          <w:p w14:paraId="0A6A6FC4">
            <w:pPr>
              <w:spacing w:line="360" w:lineRule="auto"/>
              <w:rPr>
                <w:rFonts w:hint="eastAsia" w:ascii="仿宋" w:hAnsi="仿宋" w:eastAsia="仿宋" w:cs="仿宋"/>
                <w:sz w:val="24"/>
              </w:rPr>
            </w:pPr>
            <w:r>
              <w:rPr>
                <w:rFonts w:hint="eastAsia" w:ascii="仿宋" w:hAnsi="仿宋" w:eastAsia="仿宋" w:cs="仿宋"/>
                <w:sz w:val="24"/>
              </w:rPr>
              <w:t>开户帐号：11820120000037316</w:t>
            </w:r>
          </w:p>
          <w:p w14:paraId="2C0270CF">
            <w:pPr>
              <w:spacing w:line="360" w:lineRule="auto"/>
              <w:rPr>
                <w:rFonts w:hint="eastAsia" w:ascii="仿宋" w:hAnsi="仿宋" w:eastAsia="仿宋" w:cs="仿宋"/>
                <w:sz w:val="24"/>
              </w:rPr>
            </w:pPr>
            <w:r>
              <w:rPr>
                <w:rFonts w:hint="eastAsia" w:ascii="仿宋" w:hAnsi="仿宋" w:eastAsia="仿宋" w:cs="仿宋"/>
                <w:sz w:val="24"/>
              </w:rPr>
              <w:t>日期：   年   月   日</w:t>
            </w:r>
          </w:p>
        </w:tc>
        <w:tc>
          <w:tcPr>
            <w:tcW w:w="2521" w:type="pct"/>
            <w:tcBorders>
              <w:top w:val="single" w:color="auto" w:sz="4" w:space="0"/>
              <w:left w:val="single" w:color="auto" w:sz="4" w:space="0"/>
              <w:bottom w:val="single" w:color="auto" w:sz="4" w:space="0"/>
              <w:right w:val="single" w:color="auto" w:sz="4" w:space="0"/>
            </w:tcBorders>
            <w:noWrap/>
            <w:vAlign w:val="top"/>
          </w:tcPr>
          <w:p w14:paraId="0577610B">
            <w:pPr>
              <w:spacing w:line="360" w:lineRule="auto"/>
              <w:rPr>
                <w:rFonts w:hint="eastAsia" w:ascii="仿宋" w:hAnsi="仿宋" w:eastAsia="仿宋" w:cs="仿宋"/>
                <w:sz w:val="24"/>
              </w:rPr>
            </w:pPr>
            <w:r>
              <w:rPr>
                <w:rFonts w:hint="eastAsia" w:ascii="仿宋" w:hAnsi="仿宋" w:eastAsia="仿宋" w:cs="仿宋"/>
                <w:sz w:val="24"/>
              </w:rPr>
              <w:t>乙方（盖章）：</w:t>
            </w:r>
          </w:p>
          <w:p w14:paraId="37579FB7">
            <w:pPr>
              <w:spacing w:line="360" w:lineRule="auto"/>
              <w:rPr>
                <w:rFonts w:hint="eastAsia" w:ascii="仿宋" w:hAnsi="仿宋" w:eastAsia="仿宋" w:cs="仿宋"/>
                <w:sz w:val="24"/>
              </w:rPr>
            </w:pPr>
            <w:r>
              <w:rPr>
                <w:rFonts w:hint="eastAsia" w:ascii="仿宋" w:hAnsi="仿宋" w:eastAsia="仿宋" w:cs="仿宋"/>
                <w:sz w:val="24"/>
              </w:rPr>
              <w:t>乙方代表（签字）：</w:t>
            </w:r>
          </w:p>
          <w:p w14:paraId="0B1E3FA3">
            <w:pPr>
              <w:spacing w:line="360" w:lineRule="auto"/>
              <w:rPr>
                <w:rFonts w:hint="eastAsia" w:ascii="仿宋" w:hAnsi="仿宋" w:eastAsia="仿宋" w:cs="仿宋"/>
                <w:sz w:val="24"/>
              </w:rPr>
            </w:pPr>
            <w:r>
              <w:rPr>
                <w:rFonts w:hint="eastAsia" w:ascii="仿宋" w:hAnsi="仿宋" w:eastAsia="仿宋" w:cs="仿宋"/>
                <w:sz w:val="24"/>
              </w:rPr>
              <w:t>地址：</w:t>
            </w:r>
          </w:p>
          <w:p w14:paraId="3D34B80C">
            <w:pPr>
              <w:spacing w:line="360" w:lineRule="auto"/>
              <w:rPr>
                <w:rFonts w:hint="eastAsia" w:ascii="仿宋" w:hAnsi="仿宋" w:eastAsia="仿宋" w:cs="仿宋"/>
                <w:sz w:val="24"/>
                <w:lang w:val="en-US" w:eastAsia="zh-CN"/>
              </w:rPr>
            </w:pPr>
            <w:r>
              <w:rPr>
                <w:rFonts w:hint="eastAsia" w:ascii="仿宋" w:hAnsi="仿宋" w:eastAsia="仿宋" w:cs="仿宋"/>
                <w:sz w:val="24"/>
              </w:rPr>
              <w:t>电话：</w:t>
            </w:r>
          </w:p>
          <w:p w14:paraId="1893DEF2">
            <w:pPr>
              <w:spacing w:line="360" w:lineRule="auto"/>
              <w:ind w:left="1200" w:hanging="1200" w:hangingChars="500"/>
              <w:rPr>
                <w:rFonts w:hint="eastAsia" w:ascii="仿宋" w:hAnsi="仿宋" w:eastAsia="仿宋" w:cs="仿宋"/>
                <w:sz w:val="24"/>
                <w:lang w:val="en-US" w:eastAsia="zh-CN"/>
              </w:rPr>
            </w:pPr>
            <w:r>
              <w:rPr>
                <w:rFonts w:hint="eastAsia" w:ascii="仿宋" w:hAnsi="仿宋" w:eastAsia="仿宋" w:cs="仿宋"/>
                <w:sz w:val="24"/>
              </w:rPr>
              <w:t>开户银行：</w:t>
            </w:r>
          </w:p>
          <w:p w14:paraId="338D9976">
            <w:pPr>
              <w:spacing w:line="360" w:lineRule="auto"/>
              <w:rPr>
                <w:rFonts w:hint="eastAsia" w:ascii="仿宋" w:hAnsi="仿宋" w:eastAsia="仿宋" w:cs="仿宋"/>
                <w:sz w:val="24"/>
                <w:lang w:val="en-US" w:eastAsia="zh-CN"/>
              </w:rPr>
            </w:pPr>
            <w:r>
              <w:rPr>
                <w:rFonts w:hint="eastAsia" w:ascii="仿宋" w:hAnsi="仿宋" w:eastAsia="仿宋" w:cs="仿宋"/>
                <w:sz w:val="24"/>
              </w:rPr>
              <w:t>开户帐号：</w:t>
            </w:r>
          </w:p>
          <w:p w14:paraId="1C234B1B">
            <w:pPr>
              <w:spacing w:line="360" w:lineRule="auto"/>
              <w:rPr>
                <w:rFonts w:hint="eastAsia" w:ascii="仿宋" w:hAnsi="仿宋" w:eastAsia="仿宋" w:cs="仿宋"/>
                <w:sz w:val="24"/>
              </w:rPr>
            </w:pPr>
            <w:r>
              <w:rPr>
                <w:rFonts w:hint="eastAsia" w:ascii="仿宋" w:hAnsi="仿宋" w:eastAsia="仿宋" w:cs="仿宋"/>
                <w:sz w:val="24"/>
              </w:rPr>
              <w:t xml:space="preserve">日期：   年  </w:t>
            </w:r>
            <w:r>
              <w:rPr>
                <w:rFonts w:hint="eastAsia" w:ascii="仿宋" w:hAnsi="仿宋" w:eastAsia="仿宋" w:cs="仿宋"/>
                <w:sz w:val="24"/>
                <w:lang w:val="en-US" w:eastAsia="zh-CN"/>
              </w:rPr>
              <w:t xml:space="preserve"> </w:t>
            </w:r>
            <w:r>
              <w:rPr>
                <w:rFonts w:hint="eastAsia" w:ascii="仿宋" w:hAnsi="仿宋" w:eastAsia="仿宋" w:cs="仿宋"/>
                <w:sz w:val="24"/>
              </w:rPr>
              <w:t xml:space="preserve"> 月  </w:t>
            </w:r>
            <w:r>
              <w:rPr>
                <w:rFonts w:hint="eastAsia" w:ascii="仿宋" w:hAnsi="仿宋" w:eastAsia="仿宋" w:cs="仿宋"/>
                <w:sz w:val="24"/>
                <w:lang w:val="en-US" w:eastAsia="zh-CN"/>
              </w:rPr>
              <w:t xml:space="preserve"> </w:t>
            </w:r>
            <w:r>
              <w:rPr>
                <w:rFonts w:hint="eastAsia" w:ascii="仿宋" w:hAnsi="仿宋" w:eastAsia="仿宋" w:cs="仿宋"/>
                <w:sz w:val="24"/>
              </w:rPr>
              <w:t>日</w:t>
            </w:r>
          </w:p>
        </w:tc>
      </w:tr>
    </w:tbl>
    <w:p w14:paraId="22268ADE">
      <w:pPr>
        <w:pStyle w:val="2"/>
        <w:spacing w:line="360" w:lineRule="auto"/>
        <w:rPr>
          <w:rFonts w:hint="eastAsia" w:ascii="仿宋" w:hAnsi="仿宋" w:eastAsia="仿宋" w:cs="仿宋"/>
          <w:color w:val="auto"/>
          <w:sz w:val="40"/>
          <w:szCs w:val="40"/>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p>
    <w:p w14:paraId="3ABD6C95">
      <w:pPr>
        <w:pStyle w:val="4"/>
        <w:keepNext/>
        <w:keepLines w:val="0"/>
        <w:pageBreakBefore w:val="0"/>
        <w:widowControl w:val="0"/>
        <w:kinsoku/>
        <w:wordWrap/>
        <w:overflowPunct/>
        <w:topLinePunct w:val="0"/>
        <w:autoSpaceDE/>
        <w:autoSpaceDN/>
        <w:bidi w:val="0"/>
        <w:adjustRightInd/>
        <w:snapToGrid/>
        <w:spacing w:before="0" w:beforeLines="0" w:line="240" w:lineRule="auto"/>
        <w:textAlignment w:val="auto"/>
        <w:rPr>
          <w:rFonts w:ascii="仿宋" w:hAnsi="仿宋" w:eastAsia="仿宋" w:cs="仿宋"/>
          <w:color w:val="auto"/>
          <w:sz w:val="36"/>
          <w:szCs w:val="36"/>
        </w:rPr>
      </w:pPr>
      <w:bookmarkStart w:id="148" w:name="_Toc14066"/>
      <w:bookmarkStart w:id="149" w:name="_Toc6079"/>
      <w:r>
        <w:rPr>
          <w:rFonts w:hint="eastAsia" w:ascii="仿宋" w:hAnsi="仿宋" w:eastAsia="仿宋" w:cs="仿宋"/>
          <w:color w:val="auto"/>
          <w:sz w:val="36"/>
          <w:szCs w:val="36"/>
        </w:rPr>
        <w:t>第十章 附件</w:t>
      </w:r>
      <w:bookmarkEnd w:id="135"/>
      <w:bookmarkEnd w:id="136"/>
      <w:bookmarkEnd w:id="137"/>
      <w:bookmarkEnd w:id="138"/>
      <w:bookmarkEnd w:id="148"/>
      <w:bookmarkEnd w:id="149"/>
    </w:p>
    <w:p w14:paraId="5477825C">
      <w:pPr>
        <w:spacing w:before="170"/>
        <w:ind w:right="0" w:rightChars="0"/>
        <w:jc w:val="center"/>
        <w:outlineLvl w:val="1"/>
        <w:rPr>
          <w:rFonts w:hint="eastAsia" w:ascii="仿宋" w:hAnsi="仿宋" w:eastAsia="仿宋" w:cs="仿宋"/>
          <w:b/>
          <w:bCs/>
          <w:color w:val="auto"/>
          <w:sz w:val="36"/>
          <w:szCs w:val="36"/>
          <w:lang w:eastAsia="zh-CN"/>
        </w:rPr>
      </w:pPr>
      <w:bookmarkStart w:id="150" w:name="_Toc13602"/>
      <w:r>
        <w:rPr>
          <w:rFonts w:hint="eastAsia" w:ascii="仿宋" w:hAnsi="仿宋" w:eastAsia="仿宋" w:cs="仿宋"/>
          <w:b/>
          <w:bCs/>
          <w:color w:val="auto"/>
          <w:sz w:val="36"/>
          <w:szCs w:val="36"/>
        </w:rPr>
        <w:t>供应商报名登记</w:t>
      </w:r>
      <w:r>
        <w:rPr>
          <w:rFonts w:hint="eastAsia" w:ascii="仿宋" w:hAnsi="仿宋" w:eastAsia="仿宋" w:cs="仿宋"/>
          <w:b/>
          <w:bCs/>
          <w:color w:val="auto"/>
          <w:sz w:val="36"/>
          <w:szCs w:val="36"/>
          <w:lang w:eastAsia="zh-CN"/>
        </w:rPr>
        <w:t>表</w:t>
      </w:r>
      <w:bookmarkEnd w:id="150"/>
    </w:p>
    <w:p w14:paraId="5B3E9542">
      <w:pPr>
        <w:rPr>
          <w:rFonts w:hint="eastAsia" w:ascii="仿宋" w:hAnsi="仿宋" w:eastAsia="仿宋" w:cs="仿宋"/>
          <w:color w:val="auto"/>
        </w:rPr>
      </w:pPr>
    </w:p>
    <w:tbl>
      <w:tblPr>
        <w:tblStyle w:val="24"/>
        <w:tblW w:w="8820" w:type="dxa"/>
        <w:jc w:val="center"/>
        <w:tblLayout w:type="fixed"/>
        <w:tblCellMar>
          <w:top w:w="0" w:type="dxa"/>
          <w:left w:w="108" w:type="dxa"/>
          <w:bottom w:w="0" w:type="dxa"/>
          <w:right w:w="108" w:type="dxa"/>
        </w:tblCellMar>
      </w:tblPr>
      <w:tblGrid>
        <w:gridCol w:w="2467"/>
        <w:gridCol w:w="6353"/>
      </w:tblGrid>
      <w:tr w14:paraId="4C5B5316">
        <w:tblPrEx>
          <w:tblCellMar>
            <w:top w:w="0" w:type="dxa"/>
            <w:left w:w="108" w:type="dxa"/>
            <w:bottom w:w="0" w:type="dxa"/>
            <w:right w:w="108" w:type="dxa"/>
          </w:tblCellMar>
        </w:tblPrEx>
        <w:trPr>
          <w:trHeight w:val="571" w:hRule="atLeast"/>
          <w:jc w:val="center"/>
        </w:trPr>
        <w:tc>
          <w:tcPr>
            <w:tcW w:w="246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EB8983">
            <w:pPr>
              <w:spacing w:line="240" w:lineRule="auto"/>
              <w:jc w:val="center"/>
              <w:rPr>
                <w:rFonts w:ascii="仿宋" w:hAnsi="仿宋" w:eastAsia="仿宋" w:cs="仿宋"/>
                <w:color w:val="auto"/>
                <w:sz w:val="24"/>
              </w:rPr>
            </w:pPr>
            <w:r>
              <w:rPr>
                <w:rFonts w:hint="eastAsia" w:ascii="仿宋" w:hAnsi="仿宋" w:eastAsia="仿宋" w:cs="仿宋"/>
                <w:color w:val="auto"/>
                <w:sz w:val="24"/>
              </w:rPr>
              <w:t>项目编号(※）</w:t>
            </w:r>
          </w:p>
        </w:tc>
        <w:tc>
          <w:tcPr>
            <w:tcW w:w="635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4FD0F6">
            <w:pPr>
              <w:widowControl/>
              <w:spacing w:line="360" w:lineRule="auto"/>
              <w:jc w:val="left"/>
              <w:textAlignment w:val="center"/>
              <w:rPr>
                <w:rFonts w:ascii="仿宋" w:hAnsi="仿宋" w:eastAsia="仿宋" w:cs="仿宋"/>
                <w:color w:val="auto"/>
                <w:sz w:val="32"/>
                <w:szCs w:val="32"/>
              </w:rPr>
            </w:pPr>
          </w:p>
        </w:tc>
      </w:tr>
      <w:tr w14:paraId="64DE3A00">
        <w:tblPrEx>
          <w:tblCellMar>
            <w:top w:w="0" w:type="dxa"/>
            <w:left w:w="108" w:type="dxa"/>
            <w:bottom w:w="0" w:type="dxa"/>
            <w:right w:w="108" w:type="dxa"/>
          </w:tblCellMar>
        </w:tblPrEx>
        <w:trPr>
          <w:trHeight w:val="530" w:hRule="atLeast"/>
          <w:jc w:val="center"/>
        </w:trPr>
        <w:tc>
          <w:tcPr>
            <w:tcW w:w="2467"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6791FEE4">
            <w:pPr>
              <w:spacing w:line="240" w:lineRule="auto"/>
              <w:jc w:val="center"/>
              <w:rPr>
                <w:rFonts w:ascii="仿宋" w:hAnsi="仿宋" w:eastAsia="仿宋" w:cs="仿宋"/>
                <w:color w:val="auto"/>
                <w:sz w:val="24"/>
              </w:rPr>
            </w:pPr>
            <w:r>
              <w:rPr>
                <w:rFonts w:hint="eastAsia" w:ascii="仿宋" w:hAnsi="仿宋" w:eastAsia="仿宋" w:cs="仿宋"/>
                <w:color w:val="auto"/>
                <w:sz w:val="24"/>
              </w:rPr>
              <w:t>项目名称(※）</w:t>
            </w:r>
          </w:p>
        </w:tc>
        <w:tc>
          <w:tcPr>
            <w:tcW w:w="6353"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14:paraId="13CD3E60">
            <w:pPr>
              <w:widowControl/>
              <w:spacing w:line="360" w:lineRule="auto"/>
              <w:jc w:val="left"/>
              <w:textAlignment w:val="center"/>
              <w:rPr>
                <w:rFonts w:ascii="仿宋" w:hAnsi="仿宋" w:eastAsia="仿宋" w:cs="仿宋"/>
                <w:color w:val="auto"/>
                <w:sz w:val="32"/>
                <w:szCs w:val="32"/>
              </w:rPr>
            </w:pPr>
          </w:p>
        </w:tc>
      </w:tr>
      <w:tr w14:paraId="7E2B240B">
        <w:tblPrEx>
          <w:tblCellMar>
            <w:top w:w="0" w:type="dxa"/>
            <w:left w:w="108" w:type="dxa"/>
            <w:bottom w:w="0" w:type="dxa"/>
            <w:right w:w="108" w:type="dxa"/>
          </w:tblCellMar>
        </w:tblPrEx>
        <w:trPr>
          <w:trHeight w:val="634" w:hRule="atLeast"/>
          <w:jc w:val="center"/>
        </w:trPr>
        <w:tc>
          <w:tcPr>
            <w:tcW w:w="2467"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14:paraId="3770CF60">
            <w:pPr>
              <w:spacing w:line="240" w:lineRule="auto"/>
              <w:jc w:val="center"/>
              <w:rPr>
                <w:rFonts w:ascii="仿宋" w:hAnsi="仿宋" w:eastAsia="仿宋" w:cs="仿宋"/>
                <w:color w:val="auto"/>
                <w:sz w:val="24"/>
              </w:rPr>
            </w:pPr>
            <w:r>
              <w:rPr>
                <w:rFonts w:hint="eastAsia" w:ascii="仿宋" w:hAnsi="仿宋" w:eastAsia="仿宋" w:cs="仿宋"/>
                <w:color w:val="auto"/>
                <w:sz w:val="24"/>
              </w:rPr>
              <w:t>单位名称(※）</w:t>
            </w:r>
          </w:p>
        </w:tc>
        <w:tc>
          <w:tcPr>
            <w:tcW w:w="6353"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14:paraId="2EE7F53C">
            <w:pPr>
              <w:spacing w:line="360" w:lineRule="auto"/>
              <w:jc w:val="right"/>
              <w:rPr>
                <w:rFonts w:ascii="仿宋" w:hAnsi="仿宋" w:eastAsia="仿宋" w:cs="仿宋"/>
                <w:color w:val="auto"/>
                <w:sz w:val="32"/>
                <w:szCs w:val="32"/>
              </w:rPr>
            </w:pPr>
            <w:r>
              <w:rPr>
                <w:rFonts w:hint="eastAsia" w:ascii="仿宋" w:hAnsi="仿宋" w:eastAsia="仿宋" w:cs="仿宋"/>
                <w:color w:val="auto"/>
                <w:sz w:val="24"/>
              </w:rPr>
              <w:t>(加盖公章)</w:t>
            </w:r>
          </w:p>
        </w:tc>
      </w:tr>
      <w:tr w14:paraId="6ED62D49">
        <w:tblPrEx>
          <w:tblCellMar>
            <w:top w:w="0" w:type="dxa"/>
            <w:left w:w="108" w:type="dxa"/>
            <w:bottom w:w="0" w:type="dxa"/>
            <w:right w:w="108" w:type="dxa"/>
          </w:tblCellMar>
        </w:tblPrEx>
        <w:trPr>
          <w:trHeight w:val="611"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18EA28FF">
            <w:pPr>
              <w:spacing w:line="240" w:lineRule="auto"/>
              <w:jc w:val="center"/>
              <w:rPr>
                <w:rFonts w:ascii="仿宋" w:hAnsi="仿宋" w:eastAsia="仿宋" w:cs="仿宋"/>
                <w:color w:val="auto"/>
                <w:sz w:val="24"/>
              </w:rPr>
            </w:pPr>
            <w:r>
              <w:rPr>
                <w:rFonts w:hint="eastAsia" w:ascii="仿宋" w:hAnsi="仿宋" w:eastAsia="仿宋" w:cs="仿宋"/>
                <w:color w:val="auto"/>
                <w:sz w:val="24"/>
              </w:rPr>
              <w:t>单位地址(※）</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C5EB907">
            <w:pPr>
              <w:spacing w:line="360" w:lineRule="auto"/>
              <w:rPr>
                <w:rFonts w:ascii="仿宋" w:hAnsi="仿宋" w:eastAsia="仿宋" w:cs="仿宋"/>
                <w:color w:val="auto"/>
                <w:sz w:val="32"/>
                <w:szCs w:val="32"/>
              </w:rPr>
            </w:pPr>
          </w:p>
        </w:tc>
      </w:tr>
      <w:tr w14:paraId="7050390F">
        <w:tblPrEx>
          <w:tblCellMar>
            <w:top w:w="0" w:type="dxa"/>
            <w:left w:w="108" w:type="dxa"/>
            <w:bottom w:w="0" w:type="dxa"/>
            <w:right w:w="108" w:type="dxa"/>
          </w:tblCellMar>
        </w:tblPrEx>
        <w:trPr>
          <w:trHeight w:val="566"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02966DB">
            <w:pPr>
              <w:spacing w:line="240" w:lineRule="auto"/>
              <w:jc w:val="center"/>
              <w:rPr>
                <w:rFonts w:ascii="仿宋" w:hAnsi="仿宋" w:eastAsia="仿宋" w:cs="仿宋"/>
                <w:color w:val="auto"/>
                <w:sz w:val="24"/>
              </w:rPr>
            </w:pPr>
            <w:r>
              <w:rPr>
                <w:rFonts w:hint="eastAsia" w:ascii="仿宋" w:hAnsi="仿宋" w:eastAsia="仿宋" w:cs="仿宋"/>
                <w:color w:val="auto"/>
                <w:sz w:val="24"/>
              </w:rPr>
              <w:t>购买文件时间(※）</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1CCB352">
            <w:pPr>
              <w:spacing w:line="360" w:lineRule="auto"/>
              <w:rPr>
                <w:rFonts w:ascii="仿宋" w:hAnsi="仿宋" w:eastAsia="仿宋" w:cs="仿宋"/>
                <w:color w:val="auto"/>
                <w:sz w:val="32"/>
                <w:szCs w:val="32"/>
              </w:rPr>
            </w:pPr>
          </w:p>
        </w:tc>
      </w:tr>
      <w:tr w14:paraId="5F6003AC">
        <w:tblPrEx>
          <w:tblCellMar>
            <w:top w:w="0" w:type="dxa"/>
            <w:left w:w="108" w:type="dxa"/>
            <w:bottom w:w="0" w:type="dxa"/>
            <w:right w:w="108" w:type="dxa"/>
          </w:tblCellMar>
        </w:tblPrEx>
        <w:trPr>
          <w:trHeight w:val="57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46C99DEB">
            <w:pPr>
              <w:spacing w:line="240" w:lineRule="auto"/>
              <w:jc w:val="center"/>
              <w:rPr>
                <w:rFonts w:ascii="仿宋" w:hAnsi="仿宋" w:eastAsia="仿宋" w:cs="仿宋"/>
                <w:color w:val="auto"/>
                <w:sz w:val="24"/>
              </w:rPr>
            </w:pPr>
            <w:r>
              <w:rPr>
                <w:rFonts w:hint="eastAsia" w:ascii="仿宋" w:hAnsi="仿宋" w:eastAsia="仿宋" w:cs="仿宋"/>
                <w:color w:val="auto"/>
                <w:sz w:val="24"/>
              </w:rPr>
              <w:t>包件号(※）</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9D48A02">
            <w:pPr>
              <w:spacing w:line="360" w:lineRule="auto"/>
              <w:rPr>
                <w:rFonts w:ascii="仿宋" w:hAnsi="仿宋" w:eastAsia="仿宋" w:cs="仿宋"/>
                <w:color w:val="auto"/>
                <w:sz w:val="32"/>
                <w:szCs w:val="32"/>
              </w:rPr>
            </w:pPr>
          </w:p>
        </w:tc>
      </w:tr>
      <w:tr w14:paraId="1951B239">
        <w:tblPrEx>
          <w:tblCellMar>
            <w:top w:w="0" w:type="dxa"/>
            <w:left w:w="108" w:type="dxa"/>
            <w:bottom w:w="0" w:type="dxa"/>
            <w:right w:w="108" w:type="dxa"/>
          </w:tblCellMar>
        </w:tblPrEx>
        <w:trPr>
          <w:trHeight w:val="66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6E52CAED">
            <w:pPr>
              <w:spacing w:line="240" w:lineRule="auto"/>
              <w:jc w:val="center"/>
              <w:rPr>
                <w:rFonts w:ascii="仿宋" w:hAnsi="仿宋" w:eastAsia="仿宋" w:cs="仿宋"/>
                <w:color w:val="auto"/>
                <w:sz w:val="24"/>
              </w:rPr>
            </w:pPr>
            <w:r>
              <w:rPr>
                <w:rFonts w:hint="eastAsia" w:ascii="仿宋" w:hAnsi="仿宋" w:eastAsia="仿宋" w:cs="仿宋"/>
                <w:color w:val="auto"/>
                <w:sz w:val="24"/>
              </w:rPr>
              <w:t>联系人(※）</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F2D8C0A">
            <w:pPr>
              <w:spacing w:line="360" w:lineRule="auto"/>
              <w:rPr>
                <w:rFonts w:ascii="仿宋" w:hAnsi="仿宋" w:eastAsia="仿宋" w:cs="仿宋"/>
                <w:color w:val="auto"/>
                <w:sz w:val="32"/>
                <w:szCs w:val="32"/>
              </w:rPr>
            </w:pPr>
          </w:p>
        </w:tc>
      </w:tr>
      <w:tr w14:paraId="53F1CE11">
        <w:tblPrEx>
          <w:tblCellMar>
            <w:top w:w="0" w:type="dxa"/>
            <w:left w:w="108" w:type="dxa"/>
            <w:bottom w:w="0" w:type="dxa"/>
            <w:right w:w="108" w:type="dxa"/>
          </w:tblCellMar>
        </w:tblPrEx>
        <w:trPr>
          <w:trHeight w:val="694"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3FDD1897">
            <w:pPr>
              <w:spacing w:line="240" w:lineRule="auto"/>
              <w:jc w:val="center"/>
              <w:rPr>
                <w:rFonts w:ascii="仿宋" w:hAnsi="仿宋" w:eastAsia="仿宋" w:cs="仿宋"/>
                <w:color w:val="auto"/>
                <w:sz w:val="24"/>
              </w:rPr>
            </w:pPr>
            <w:r>
              <w:rPr>
                <w:rFonts w:hint="eastAsia" w:ascii="仿宋" w:hAnsi="仿宋" w:eastAsia="仿宋" w:cs="仿宋"/>
                <w:color w:val="auto"/>
                <w:sz w:val="24"/>
              </w:rPr>
              <w:t>单位固定电话</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D8DD291">
            <w:pPr>
              <w:spacing w:line="360" w:lineRule="auto"/>
              <w:rPr>
                <w:rFonts w:ascii="仿宋" w:hAnsi="仿宋" w:eastAsia="仿宋" w:cs="仿宋"/>
                <w:color w:val="auto"/>
                <w:sz w:val="32"/>
                <w:szCs w:val="32"/>
              </w:rPr>
            </w:pPr>
          </w:p>
        </w:tc>
      </w:tr>
      <w:tr w14:paraId="5F830B72">
        <w:tblPrEx>
          <w:tblCellMar>
            <w:top w:w="0" w:type="dxa"/>
            <w:left w:w="108" w:type="dxa"/>
            <w:bottom w:w="0" w:type="dxa"/>
            <w:right w:w="108" w:type="dxa"/>
          </w:tblCellMar>
        </w:tblPrEx>
        <w:trPr>
          <w:trHeight w:val="619"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609EB1A">
            <w:pPr>
              <w:spacing w:line="240" w:lineRule="auto"/>
              <w:jc w:val="center"/>
              <w:rPr>
                <w:rFonts w:ascii="仿宋" w:hAnsi="仿宋" w:eastAsia="仿宋" w:cs="仿宋"/>
                <w:color w:val="auto"/>
                <w:sz w:val="24"/>
              </w:rPr>
            </w:pPr>
            <w:r>
              <w:rPr>
                <w:rFonts w:hint="eastAsia" w:ascii="仿宋" w:hAnsi="仿宋" w:eastAsia="仿宋" w:cs="仿宋"/>
                <w:color w:val="auto"/>
                <w:sz w:val="24"/>
              </w:rPr>
              <w:t>经办人移动电话(※）</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2D72005">
            <w:pPr>
              <w:spacing w:line="360" w:lineRule="auto"/>
              <w:rPr>
                <w:rFonts w:ascii="仿宋" w:hAnsi="仿宋" w:eastAsia="仿宋" w:cs="仿宋"/>
                <w:color w:val="auto"/>
                <w:sz w:val="32"/>
                <w:szCs w:val="32"/>
              </w:rPr>
            </w:pPr>
          </w:p>
        </w:tc>
      </w:tr>
      <w:tr w14:paraId="19853DC1">
        <w:tblPrEx>
          <w:tblCellMar>
            <w:top w:w="0" w:type="dxa"/>
            <w:left w:w="108" w:type="dxa"/>
            <w:bottom w:w="0" w:type="dxa"/>
            <w:right w:w="108" w:type="dxa"/>
          </w:tblCellMar>
        </w:tblPrEx>
        <w:trPr>
          <w:trHeight w:val="622"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796B4A3">
            <w:pPr>
              <w:spacing w:line="240" w:lineRule="auto"/>
              <w:jc w:val="center"/>
              <w:rPr>
                <w:rFonts w:ascii="仿宋" w:hAnsi="仿宋" w:eastAsia="仿宋" w:cs="仿宋"/>
                <w:color w:val="auto"/>
                <w:sz w:val="24"/>
              </w:rPr>
            </w:pPr>
            <w:r>
              <w:rPr>
                <w:rFonts w:hint="eastAsia" w:ascii="仿宋" w:hAnsi="仿宋" w:eastAsia="仿宋" w:cs="仿宋"/>
                <w:color w:val="auto"/>
                <w:sz w:val="24"/>
              </w:rPr>
              <w:t>单位传真</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B423F7E">
            <w:pPr>
              <w:spacing w:line="360" w:lineRule="auto"/>
              <w:rPr>
                <w:rFonts w:ascii="仿宋" w:hAnsi="仿宋" w:eastAsia="仿宋" w:cs="仿宋"/>
                <w:color w:val="auto"/>
                <w:sz w:val="32"/>
                <w:szCs w:val="32"/>
              </w:rPr>
            </w:pPr>
          </w:p>
        </w:tc>
      </w:tr>
      <w:tr w14:paraId="5745794C">
        <w:tblPrEx>
          <w:tblCellMar>
            <w:top w:w="0" w:type="dxa"/>
            <w:left w:w="108" w:type="dxa"/>
            <w:bottom w:w="0" w:type="dxa"/>
            <w:right w:w="108" w:type="dxa"/>
          </w:tblCellMar>
        </w:tblPrEx>
        <w:trPr>
          <w:trHeight w:val="538"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2E243C62">
            <w:pPr>
              <w:spacing w:line="240" w:lineRule="auto"/>
              <w:jc w:val="center"/>
              <w:rPr>
                <w:rFonts w:ascii="仿宋" w:hAnsi="仿宋" w:eastAsia="仿宋" w:cs="仿宋"/>
                <w:color w:val="auto"/>
                <w:sz w:val="24"/>
              </w:rPr>
            </w:pPr>
            <w:r>
              <w:rPr>
                <w:rFonts w:hint="eastAsia" w:ascii="仿宋" w:hAnsi="仿宋" w:eastAsia="仿宋" w:cs="仿宋"/>
                <w:color w:val="auto"/>
                <w:sz w:val="24"/>
              </w:rPr>
              <w:t>电子邮箱(※）</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59685A">
            <w:pPr>
              <w:spacing w:line="360" w:lineRule="auto"/>
              <w:rPr>
                <w:rFonts w:ascii="仿宋" w:hAnsi="仿宋" w:eastAsia="仿宋" w:cs="仿宋"/>
                <w:color w:val="auto"/>
                <w:sz w:val="32"/>
                <w:szCs w:val="32"/>
              </w:rPr>
            </w:pPr>
          </w:p>
        </w:tc>
      </w:tr>
      <w:tr w14:paraId="2B8DB0B3">
        <w:tblPrEx>
          <w:tblCellMar>
            <w:top w:w="0" w:type="dxa"/>
            <w:left w:w="108" w:type="dxa"/>
            <w:bottom w:w="0" w:type="dxa"/>
            <w:right w:w="108" w:type="dxa"/>
          </w:tblCellMar>
        </w:tblPrEx>
        <w:trPr>
          <w:trHeight w:val="3602" w:hRule="atLeast"/>
          <w:jc w:val="center"/>
        </w:trPr>
        <w:tc>
          <w:tcPr>
            <w:tcW w:w="246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14:paraId="7F2832A6">
            <w:pPr>
              <w:spacing w:line="360" w:lineRule="auto"/>
              <w:jc w:val="center"/>
              <w:rPr>
                <w:rFonts w:ascii="仿宋" w:hAnsi="仿宋" w:eastAsia="仿宋" w:cs="仿宋"/>
                <w:color w:val="auto"/>
                <w:sz w:val="24"/>
              </w:rPr>
            </w:pPr>
            <w:r>
              <w:rPr>
                <w:rFonts w:hint="eastAsia" w:ascii="仿宋" w:hAnsi="仿宋" w:eastAsia="仿宋" w:cs="仿宋"/>
                <w:color w:val="auto"/>
                <w:sz w:val="24"/>
              </w:rPr>
              <w:t>备    注</w:t>
            </w:r>
          </w:p>
        </w:tc>
        <w:tc>
          <w:tcPr>
            <w:tcW w:w="635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7A29EBF">
            <w:pPr>
              <w:spacing w:line="360" w:lineRule="auto"/>
              <w:rPr>
                <w:rFonts w:ascii="仿宋" w:hAnsi="仿宋" w:eastAsia="仿宋" w:cs="仿宋"/>
                <w:color w:val="auto"/>
                <w:sz w:val="24"/>
              </w:rPr>
            </w:pPr>
            <w:r>
              <w:rPr>
                <w:rFonts w:hint="eastAsia" w:ascii="仿宋" w:hAnsi="仿宋" w:eastAsia="仿宋" w:cs="仿宋"/>
                <w:color w:val="auto"/>
                <w:sz w:val="24"/>
              </w:rPr>
              <w:t>1、购买采购文件时须携带如下合法有效的证件（原件）：</w:t>
            </w:r>
          </w:p>
          <w:p w14:paraId="761CD3B9">
            <w:pPr>
              <w:spacing w:line="360" w:lineRule="auto"/>
              <w:rPr>
                <w:rFonts w:ascii="仿宋" w:hAnsi="仿宋" w:eastAsia="仿宋" w:cs="仿宋"/>
                <w:color w:val="auto"/>
                <w:sz w:val="24"/>
              </w:rPr>
            </w:pPr>
            <w:r>
              <w:rPr>
                <w:rFonts w:hint="eastAsia" w:ascii="仿宋" w:hAnsi="仿宋" w:eastAsia="仿宋" w:cs="仿宋"/>
                <w:color w:val="auto"/>
                <w:sz w:val="24"/>
              </w:rPr>
              <w:t>①本表（即供应商报名登记表）；</w:t>
            </w:r>
          </w:p>
          <w:p w14:paraId="6C43A58E">
            <w:pPr>
              <w:spacing w:line="360" w:lineRule="auto"/>
              <w:rPr>
                <w:rFonts w:ascii="仿宋" w:hAnsi="仿宋" w:eastAsia="仿宋" w:cs="仿宋"/>
                <w:color w:val="auto"/>
                <w:sz w:val="24"/>
              </w:rPr>
            </w:pPr>
            <w:r>
              <w:rPr>
                <w:rFonts w:hint="eastAsia" w:ascii="仿宋" w:hAnsi="仿宋" w:eastAsia="仿宋" w:cs="仿宋"/>
                <w:color w:val="auto"/>
                <w:sz w:val="24"/>
              </w:rPr>
              <w:t>②供应商介绍信原件（加盖公章）；</w:t>
            </w:r>
          </w:p>
          <w:p w14:paraId="20481419">
            <w:pPr>
              <w:spacing w:line="360" w:lineRule="auto"/>
              <w:rPr>
                <w:rFonts w:ascii="仿宋" w:hAnsi="仿宋" w:eastAsia="仿宋" w:cs="仿宋"/>
                <w:color w:val="auto"/>
                <w:sz w:val="24"/>
              </w:rPr>
            </w:pPr>
            <w:r>
              <w:rPr>
                <w:rFonts w:hint="eastAsia" w:ascii="仿宋" w:hAnsi="仿宋" w:eastAsia="仿宋" w:cs="仿宋"/>
                <w:color w:val="auto"/>
                <w:sz w:val="24"/>
              </w:rPr>
              <w:t>③供应商经办人身份证</w:t>
            </w:r>
            <w:r>
              <w:rPr>
                <w:rFonts w:hint="eastAsia" w:ascii="仿宋" w:hAnsi="仿宋" w:eastAsia="仿宋" w:cs="仿宋"/>
                <w:color w:val="auto"/>
                <w:sz w:val="24"/>
                <w:lang w:eastAsia="zh-CN"/>
              </w:rPr>
              <w:t>影印件</w:t>
            </w:r>
            <w:r>
              <w:rPr>
                <w:rFonts w:hint="eastAsia" w:ascii="仿宋" w:hAnsi="仿宋" w:eastAsia="仿宋" w:cs="仿宋"/>
                <w:color w:val="auto"/>
                <w:sz w:val="24"/>
              </w:rPr>
              <w:t>（加盖公章）；</w:t>
            </w:r>
          </w:p>
          <w:p w14:paraId="664898DF">
            <w:pPr>
              <w:spacing w:line="360" w:lineRule="auto"/>
              <w:rPr>
                <w:rFonts w:ascii="仿宋" w:hAnsi="仿宋" w:eastAsia="仿宋" w:cs="仿宋"/>
                <w:color w:val="auto"/>
                <w:sz w:val="24"/>
              </w:rPr>
            </w:pPr>
            <w:r>
              <w:rPr>
                <w:rFonts w:hint="eastAsia" w:ascii="仿宋" w:hAnsi="仿宋" w:eastAsia="仿宋" w:cs="仿宋"/>
                <w:color w:val="auto"/>
                <w:sz w:val="24"/>
              </w:rPr>
              <w:t>采用邮购方式的供应商请将上述资料电子版传至我司邮箱：jrzb8222@126.com，联系电话：0813-8108222。</w:t>
            </w:r>
          </w:p>
          <w:p w14:paraId="48ACBC51">
            <w:pPr>
              <w:spacing w:line="360" w:lineRule="auto"/>
              <w:rPr>
                <w:rFonts w:ascii="仿宋" w:hAnsi="仿宋" w:eastAsia="仿宋" w:cs="仿宋"/>
                <w:color w:val="auto"/>
                <w:sz w:val="24"/>
              </w:rPr>
            </w:pPr>
            <w:r>
              <w:rPr>
                <w:rFonts w:hint="eastAsia" w:ascii="仿宋" w:hAnsi="仿宋" w:eastAsia="仿宋" w:cs="仿宋"/>
                <w:color w:val="auto"/>
                <w:sz w:val="24"/>
              </w:rPr>
              <w:t>2、带※号为必填项；</w:t>
            </w:r>
          </w:p>
          <w:p w14:paraId="55A94B7D">
            <w:pPr>
              <w:spacing w:line="360" w:lineRule="auto"/>
              <w:rPr>
                <w:rFonts w:ascii="仿宋" w:hAnsi="仿宋" w:eastAsia="仿宋" w:cs="仿宋"/>
                <w:color w:val="auto"/>
                <w:sz w:val="24"/>
              </w:rPr>
            </w:pPr>
            <w:r>
              <w:rPr>
                <w:rFonts w:hint="eastAsia" w:ascii="仿宋" w:hAnsi="仿宋" w:eastAsia="仿宋" w:cs="仿宋"/>
                <w:color w:val="auto"/>
                <w:sz w:val="24"/>
              </w:rPr>
              <w:t>3、无包件号填“/”。</w:t>
            </w:r>
          </w:p>
        </w:tc>
      </w:tr>
    </w:tbl>
    <w:p w14:paraId="403655C8">
      <w:pPr>
        <w:rPr>
          <w:rFonts w:ascii="仿宋" w:hAnsi="仿宋" w:eastAsia="仿宋" w:cs="仿宋"/>
          <w:color w:val="auto"/>
          <w:sz w:val="10"/>
          <w:szCs w:val="10"/>
        </w:rPr>
      </w:pPr>
    </w:p>
    <w:p w14:paraId="62BC4B49">
      <w:pPr>
        <w:rPr>
          <w:rFonts w:ascii="仿宋" w:hAnsi="仿宋" w:eastAsia="仿宋" w:cs="仿宋"/>
          <w:color w:val="auto"/>
          <w:sz w:val="10"/>
          <w:szCs w:val="10"/>
        </w:rPr>
      </w:pPr>
    </w:p>
    <w:p w14:paraId="56A4E130">
      <w:pPr>
        <w:rPr>
          <w:rFonts w:ascii="仿宋" w:hAnsi="仿宋" w:eastAsia="仿宋" w:cs="仿宋"/>
          <w:color w:val="auto"/>
          <w:sz w:val="10"/>
          <w:szCs w:val="10"/>
        </w:rPr>
      </w:pPr>
    </w:p>
    <w:p w14:paraId="6553A4A8">
      <w:pPr>
        <w:rPr>
          <w:rFonts w:ascii="仿宋" w:hAnsi="仿宋" w:eastAsia="仿宋" w:cs="仿宋"/>
          <w:color w:val="auto"/>
          <w:sz w:val="10"/>
          <w:szCs w:val="10"/>
        </w:rPr>
      </w:pPr>
    </w:p>
    <w:p w14:paraId="528307F3">
      <w:pPr>
        <w:tabs>
          <w:tab w:val="left" w:pos="1349"/>
        </w:tabs>
        <w:rPr>
          <w:rFonts w:ascii="仿宋" w:hAnsi="仿宋" w:eastAsia="仿宋" w:cs="仿宋"/>
          <w:color w:val="auto"/>
          <w:sz w:val="10"/>
          <w:szCs w:val="10"/>
        </w:rPr>
      </w:pPr>
      <w:r>
        <w:rPr>
          <w:rFonts w:hint="eastAsia" w:ascii="仿宋" w:hAnsi="仿宋" w:eastAsia="仿宋" w:cs="仿宋"/>
          <w:color w:val="auto"/>
          <w:sz w:val="10"/>
          <w:szCs w:val="10"/>
        </w:rPr>
        <w:tab/>
      </w:r>
    </w:p>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Noto Sans CJK JP Regular">
    <w:altName w:val="Segoe Print"/>
    <w:panose1 w:val="00000000000000000000"/>
    <w:charset w:val="00"/>
    <w:family w:val="swiss"/>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MingLiU">
    <w:panose1 w:val="02020509000000000000"/>
    <w:charset w:val="88"/>
    <w:family w:val="auto"/>
    <w:pitch w:val="default"/>
    <w:sig w:usb0="A00002FF" w:usb1="28CFFCFA" w:usb2="00000016" w:usb3="00000000" w:csb0="0010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57ECF">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56FD">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E84DCA">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E84DCA">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0EEBC">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EC450BD">
                          <w:pPr>
                            <w:pStyle w:val="18"/>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xD+/YAQAAsg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TYllBgd++fH98vP3&#10;5dc38nqd9Ok91Jh27zExDu/cgFsznwMeJtqDDCb9kRDBOKp7vqorhkh4ulStqqrEEMfY7CB+8Xjd&#10;B4jvhTMkGQ0NOL6sKjt9hDimzimpmnV3Sus8Qm1Jj6g31fom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9zEP79gBAACyAwAADgAAAAAAAAAB&#10;ACAAAAAiAQAAZHJzL2Uyb0RvYy54bWxQSwUGAAAAAAYABgBZAQAAbAUAAAAA&#10;">
              <v:fill on="f" focussize="0,0"/>
              <v:stroke on="f" weight="1.25pt"/>
              <v:imagedata o:title=""/>
              <o:lock v:ext="edit" aspectratio="f"/>
              <v:textbox inset="0mm,0mm,0mm,0mm" style="mso-fit-shape-to-text:t;">
                <w:txbxContent>
                  <w:p w14:paraId="7EC450BD">
                    <w:pPr>
                      <w:pStyle w:val="18"/>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12157">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5406E">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9A5406E">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0697">
    <w:pPr>
      <w:pStyle w:val="18"/>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64F971">
                          <w:pPr>
                            <w:pStyle w:val="18"/>
                          </w:pPr>
                          <w:r>
                            <w:fldChar w:fldCharType="begin"/>
                          </w:r>
                          <w:r>
                            <w:instrText xml:space="preserve"> PAGE  \* MERGEFORMAT </w:instrText>
                          </w:r>
                          <w:r>
                            <w:fldChar w:fldCharType="separate"/>
                          </w:r>
                          <w:r>
                            <w:t>- 91 -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064F971">
                    <w:pPr>
                      <w:pStyle w:val="18"/>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38CE">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09B00">
                          <w:pPr>
                            <w:pStyle w:val="18"/>
                          </w:pPr>
                          <w:r>
                            <w:fldChar w:fldCharType="begin"/>
                          </w:r>
                          <w:r>
                            <w:instrText xml:space="preserve"> PAGE  \* MERGEFORMAT </w:instrText>
                          </w:r>
                          <w:r>
                            <w:fldChar w:fldCharType="separate"/>
                          </w:r>
                          <w:r>
                            <w:t>- 90 -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E109B00">
                    <w:pPr>
                      <w:pStyle w:val="18"/>
                    </w:pPr>
                    <w:r>
                      <w:fldChar w:fldCharType="begin"/>
                    </w:r>
                    <w:r>
                      <w:instrText xml:space="preserve"> PAGE  \* MERGEFORMAT </w:instrText>
                    </w:r>
                    <w:r>
                      <w:fldChar w:fldCharType="separate"/>
                    </w:r>
                    <w:r>
                      <w:t>- 90 -</w:t>
                    </w:r>
                    <w:r>
                      <w:fldChar w:fldCharType="end"/>
                    </w:r>
                  </w:p>
                </w:txbxContent>
              </v:textbox>
            </v:shape>
          </w:pict>
        </mc:Fallback>
      </mc:AlternateContent>
    </w:r>
  </w:p>
  <w:p w14:paraId="5DE1CEA5">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CD3C7">
    <w:pPr>
      <w:pStyle w:val="19"/>
      <w:pBdr>
        <w:bottom w:val="single" w:color="auto" w:sz="4" w:space="1"/>
      </w:pBdr>
      <w:jc w:val="left"/>
    </w:pPr>
    <w:r>
      <w:rPr>
        <w:rFonts w:hint="eastAsia"/>
      </w:rPr>
      <w:drawing>
        <wp:inline distT="0" distB="0" distL="0" distR="0">
          <wp:extent cx="1276350" cy="323850"/>
          <wp:effectExtent l="19050" t="0" r="0" b="0"/>
          <wp:docPr id="1" name="图片 2"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F710D">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F9B1">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FFB83">
    <w:pPr>
      <w:pStyle w:val="19"/>
      <w:tabs>
        <w:tab w:val="center" w:pos="4875"/>
        <w:tab w:val="left" w:pos="6180"/>
      </w:tabs>
      <w:jc w:val="left"/>
    </w:pPr>
    <w:r>
      <w:rPr>
        <w:rFonts w:hint="eastAsia"/>
      </w:rPr>
      <w:drawing>
        <wp:inline distT="0" distB="0" distL="0" distR="0">
          <wp:extent cx="1276350" cy="323850"/>
          <wp:effectExtent l="19050" t="0" r="0" b="0"/>
          <wp:docPr id="3" name="图片 4"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a:effec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F508">
    <w:pPr>
      <w:pStyle w:val="19"/>
      <w:jc w:val="left"/>
    </w:pPr>
    <w:r>
      <w:rPr>
        <w:rFonts w:hint="eastAsia"/>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27" name="图片 27"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20323175(1)"/>
                  <pic:cNvPicPr>
                    <a:picLocks noChangeAspect="1" noChangeArrowheads="1"/>
                  </pic:cNvPicPr>
                </pic:nvPicPr>
                <pic:blipFill>
                  <a:blip r:embed="rId1"/>
                  <a:srcRect/>
                  <a:stretch>
                    <a:fillRect/>
                  </a:stretch>
                </pic:blipFill>
                <pic:spPr>
                  <a:xfrm>
                    <a:off x="0" y="0"/>
                    <a:ext cx="1119505" cy="264160"/>
                  </a:xfrm>
                  <a:prstGeom prst="rect">
                    <a:avLst/>
                  </a:prstGeom>
                  <a:noFill/>
                  <a:ln w="9525">
                    <a:noFill/>
                    <a:miter lim="800000"/>
                    <a:headEnd/>
                    <a:tailEnd/>
                  </a:ln>
                  <a:effectLst/>
                </pic:spPr>
              </pic:pic>
            </a:graphicData>
          </a:graphic>
        </wp:anchor>
      </w:drawing>
    </w:r>
  </w:p>
  <w:p w14:paraId="119A0FFE">
    <w:pPr>
      <w:pStyle w:val="19"/>
      <w:jc w:val="left"/>
    </w:pPr>
  </w:p>
  <w:p w14:paraId="789FAD9A">
    <w:pPr>
      <w:pStyle w:val="19"/>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FDBB"/>
    <w:multiLevelType w:val="singleLevel"/>
    <w:tmpl w:val="AE90FDBB"/>
    <w:lvl w:ilvl="0" w:tentative="0">
      <w:start w:val="1"/>
      <w:numFmt w:val="chineseCounting"/>
      <w:suff w:val="nothing"/>
      <w:lvlText w:val="%1、"/>
      <w:lvlJc w:val="left"/>
      <w:rPr>
        <w:rFonts w:hint="eastAsia"/>
      </w:rPr>
    </w:lvl>
  </w:abstractNum>
  <w:abstractNum w:abstractNumId="1">
    <w:nsid w:val="E768029D"/>
    <w:multiLevelType w:val="singleLevel"/>
    <w:tmpl w:val="E768029D"/>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5"/>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YmI2N2MzYjg1MmZhMmM4MzQ1ZWFmODdlM2Y5MTYifQ=="/>
    <w:docVar w:name="KSO_WPS_MARK_KEY" w:val="befd820a-153a-4fa1-86d2-81d158d6e35b"/>
  </w:docVars>
  <w:rsids>
    <w:rsidRoot w:val="00172A27"/>
    <w:rsid w:val="00027FF3"/>
    <w:rsid w:val="00034AC4"/>
    <w:rsid w:val="000368CF"/>
    <w:rsid w:val="00037E43"/>
    <w:rsid w:val="0005149A"/>
    <w:rsid w:val="000741F4"/>
    <w:rsid w:val="00074E7D"/>
    <w:rsid w:val="00075CB6"/>
    <w:rsid w:val="000A270B"/>
    <w:rsid w:val="000A51B9"/>
    <w:rsid w:val="000A5F34"/>
    <w:rsid w:val="000A7056"/>
    <w:rsid w:val="000B1791"/>
    <w:rsid w:val="000B4B3B"/>
    <w:rsid w:val="000C23EE"/>
    <w:rsid w:val="000D2B89"/>
    <w:rsid w:val="000D62C3"/>
    <w:rsid w:val="000D74C6"/>
    <w:rsid w:val="00100A53"/>
    <w:rsid w:val="00105DB8"/>
    <w:rsid w:val="00107CB4"/>
    <w:rsid w:val="00110282"/>
    <w:rsid w:val="00110591"/>
    <w:rsid w:val="001168CF"/>
    <w:rsid w:val="00121DF9"/>
    <w:rsid w:val="0012647F"/>
    <w:rsid w:val="001310FD"/>
    <w:rsid w:val="00133459"/>
    <w:rsid w:val="001362AE"/>
    <w:rsid w:val="00143103"/>
    <w:rsid w:val="001471A3"/>
    <w:rsid w:val="0015588B"/>
    <w:rsid w:val="00157CC3"/>
    <w:rsid w:val="00172A27"/>
    <w:rsid w:val="001812E2"/>
    <w:rsid w:val="00182D8C"/>
    <w:rsid w:val="001C0141"/>
    <w:rsid w:val="001C054F"/>
    <w:rsid w:val="001D4D3B"/>
    <w:rsid w:val="001D7A66"/>
    <w:rsid w:val="001F2F3A"/>
    <w:rsid w:val="001F7B9F"/>
    <w:rsid w:val="00207586"/>
    <w:rsid w:val="00212A1E"/>
    <w:rsid w:val="00220AD8"/>
    <w:rsid w:val="0022165C"/>
    <w:rsid w:val="002632C1"/>
    <w:rsid w:val="00265A2C"/>
    <w:rsid w:val="002814F0"/>
    <w:rsid w:val="002B0BC4"/>
    <w:rsid w:val="002B0FE6"/>
    <w:rsid w:val="002B4B3C"/>
    <w:rsid w:val="002C0B91"/>
    <w:rsid w:val="002C0C98"/>
    <w:rsid w:val="002E4FB6"/>
    <w:rsid w:val="00301603"/>
    <w:rsid w:val="00305E5C"/>
    <w:rsid w:val="0031441E"/>
    <w:rsid w:val="00320E1A"/>
    <w:rsid w:val="0032125B"/>
    <w:rsid w:val="003252A9"/>
    <w:rsid w:val="00330D5E"/>
    <w:rsid w:val="00335EB1"/>
    <w:rsid w:val="00336D0C"/>
    <w:rsid w:val="003503AE"/>
    <w:rsid w:val="00367326"/>
    <w:rsid w:val="00370FAE"/>
    <w:rsid w:val="003864F0"/>
    <w:rsid w:val="0038745C"/>
    <w:rsid w:val="00393D49"/>
    <w:rsid w:val="003A3B78"/>
    <w:rsid w:val="003A77DE"/>
    <w:rsid w:val="003B644E"/>
    <w:rsid w:val="003C196D"/>
    <w:rsid w:val="003C1EEC"/>
    <w:rsid w:val="003C68BB"/>
    <w:rsid w:val="003E23D6"/>
    <w:rsid w:val="0040222F"/>
    <w:rsid w:val="004040C2"/>
    <w:rsid w:val="00406C10"/>
    <w:rsid w:val="00416398"/>
    <w:rsid w:val="004177C1"/>
    <w:rsid w:val="00417901"/>
    <w:rsid w:val="00427785"/>
    <w:rsid w:val="004350F3"/>
    <w:rsid w:val="00443A55"/>
    <w:rsid w:val="00447921"/>
    <w:rsid w:val="00450A8D"/>
    <w:rsid w:val="00466A1A"/>
    <w:rsid w:val="00475494"/>
    <w:rsid w:val="004846D6"/>
    <w:rsid w:val="00496FE4"/>
    <w:rsid w:val="004A1767"/>
    <w:rsid w:val="004A5CB5"/>
    <w:rsid w:val="004B3B5A"/>
    <w:rsid w:val="004B6650"/>
    <w:rsid w:val="004C0E76"/>
    <w:rsid w:val="004C1EB5"/>
    <w:rsid w:val="004D1A1E"/>
    <w:rsid w:val="004D3770"/>
    <w:rsid w:val="004E4892"/>
    <w:rsid w:val="004F0233"/>
    <w:rsid w:val="004F451F"/>
    <w:rsid w:val="00511A60"/>
    <w:rsid w:val="005175BD"/>
    <w:rsid w:val="005348B1"/>
    <w:rsid w:val="00536861"/>
    <w:rsid w:val="0053709D"/>
    <w:rsid w:val="00545335"/>
    <w:rsid w:val="00545758"/>
    <w:rsid w:val="005638BB"/>
    <w:rsid w:val="00564779"/>
    <w:rsid w:val="00573F38"/>
    <w:rsid w:val="00590B0B"/>
    <w:rsid w:val="00592CE7"/>
    <w:rsid w:val="00594FC2"/>
    <w:rsid w:val="0059516E"/>
    <w:rsid w:val="005A03F6"/>
    <w:rsid w:val="005B71C2"/>
    <w:rsid w:val="005B7EF1"/>
    <w:rsid w:val="005C71B0"/>
    <w:rsid w:val="005E7ADE"/>
    <w:rsid w:val="005F7284"/>
    <w:rsid w:val="00603EEA"/>
    <w:rsid w:val="00615C7B"/>
    <w:rsid w:val="0062041D"/>
    <w:rsid w:val="006269E0"/>
    <w:rsid w:val="006350DC"/>
    <w:rsid w:val="0065060D"/>
    <w:rsid w:val="0065734C"/>
    <w:rsid w:val="0067172B"/>
    <w:rsid w:val="0067480F"/>
    <w:rsid w:val="00676446"/>
    <w:rsid w:val="00677E49"/>
    <w:rsid w:val="00691980"/>
    <w:rsid w:val="00694F6D"/>
    <w:rsid w:val="006A0F0B"/>
    <w:rsid w:val="006C04F0"/>
    <w:rsid w:val="006D0986"/>
    <w:rsid w:val="006D15FD"/>
    <w:rsid w:val="006D509D"/>
    <w:rsid w:val="006D5942"/>
    <w:rsid w:val="006E1614"/>
    <w:rsid w:val="006E36B8"/>
    <w:rsid w:val="006E420C"/>
    <w:rsid w:val="007106CA"/>
    <w:rsid w:val="00716D59"/>
    <w:rsid w:val="00717877"/>
    <w:rsid w:val="00754C59"/>
    <w:rsid w:val="00761AA2"/>
    <w:rsid w:val="00773330"/>
    <w:rsid w:val="0077490E"/>
    <w:rsid w:val="00775236"/>
    <w:rsid w:val="0078024A"/>
    <w:rsid w:val="0078143C"/>
    <w:rsid w:val="0078474B"/>
    <w:rsid w:val="007A6FD3"/>
    <w:rsid w:val="007B3520"/>
    <w:rsid w:val="007B5094"/>
    <w:rsid w:val="007C2765"/>
    <w:rsid w:val="007D0136"/>
    <w:rsid w:val="007D3165"/>
    <w:rsid w:val="007E1713"/>
    <w:rsid w:val="007E706D"/>
    <w:rsid w:val="007F4FC8"/>
    <w:rsid w:val="008049CB"/>
    <w:rsid w:val="0080718B"/>
    <w:rsid w:val="008127E2"/>
    <w:rsid w:val="0081362D"/>
    <w:rsid w:val="008179DF"/>
    <w:rsid w:val="00837270"/>
    <w:rsid w:val="0084784E"/>
    <w:rsid w:val="00850DC9"/>
    <w:rsid w:val="00853068"/>
    <w:rsid w:val="008660F3"/>
    <w:rsid w:val="008703FA"/>
    <w:rsid w:val="008743E2"/>
    <w:rsid w:val="008A511D"/>
    <w:rsid w:val="008A5882"/>
    <w:rsid w:val="008E6930"/>
    <w:rsid w:val="008F14D9"/>
    <w:rsid w:val="00902A78"/>
    <w:rsid w:val="00927CAC"/>
    <w:rsid w:val="00934C27"/>
    <w:rsid w:val="00937D74"/>
    <w:rsid w:val="00940638"/>
    <w:rsid w:val="00940DBD"/>
    <w:rsid w:val="00943180"/>
    <w:rsid w:val="0094458A"/>
    <w:rsid w:val="0094757C"/>
    <w:rsid w:val="00965725"/>
    <w:rsid w:val="00972A36"/>
    <w:rsid w:val="009B00E2"/>
    <w:rsid w:val="009D33BA"/>
    <w:rsid w:val="009D7535"/>
    <w:rsid w:val="009E5C24"/>
    <w:rsid w:val="009E761E"/>
    <w:rsid w:val="009F16BB"/>
    <w:rsid w:val="009F56F9"/>
    <w:rsid w:val="00A129D6"/>
    <w:rsid w:val="00A20007"/>
    <w:rsid w:val="00A21329"/>
    <w:rsid w:val="00A271EA"/>
    <w:rsid w:val="00A35175"/>
    <w:rsid w:val="00A40793"/>
    <w:rsid w:val="00A446EE"/>
    <w:rsid w:val="00A464D9"/>
    <w:rsid w:val="00A56CC1"/>
    <w:rsid w:val="00A61223"/>
    <w:rsid w:val="00A612C6"/>
    <w:rsid w:val="00A67069"/>
    <w:rsid w:val="00A7756B"/>
    <w:rsid w:val="00A7757B"/>
    <w:rsid w:val="00A80C9C"/>
    <w:rsid w:val="00A82169"/>
    <w:rsid w:val="00A82B2B"/>
    <w:rsid w:val="00A860D6"/>
    <w:rsid w:val="00AA35A3"/>
    <w:rsid w:val="00AA6B79"/>
    <w:rsid w:val="00AB0F96"/>
    <w:rsid w:val="00AB4A30"/>
    <w:rsid w:val="00AB685D"/>
    <w:rsid w:val="00AC1694"/>
    <w:rsid w:val="00AE4D80"/>
    <w:rsid w:val="00AE5F59"/>
    <w:rsid w:val="00AE60ED"/>
    <w:rsid w:val="00B06ECF"/>
    <w:rsid w:val="00B1500A"/>
    <w:rsid w:val="00B157C2"/>
    <w:rsid w:val="00B16E97"/>
    <w:rsid w:val="00B20DF2"/>
    <w:rsid w:val="00B36348"/>
    <w:rsid w:val="00B53431"/>
    <w:rsid w:val="00B724E7"/>
    <w:rsid w:val="00B728FC"/>
    <w:rsid w:val="00B81FF5"/>
    <w:rsid w:val="00B96F72"/>
    <w:rsid w:val="00BA5BB1"/>
    <w:rsid w:val="00BA6D01"/>
    <w:rsid w:val="00BA7D4F"/>
    <w:rsid w:val="00BC0492"/>
    <w:rsid w:val="00BC42EA"/>
    <w:rsid w:val="00BD5DB8"/>
    <w:rsid w:val="00BE0CDA"/>
    <w:rsid w:val="00BE3316"/>
    <w:rsid w:val="00BE7E00"/>
    <w:rsid w:val="00C011EB"/>
    <w:rsid w:val="00C01C66"/>
    <w:rsid w:val="00C077D6"/>
    <w:rsid w:val="00C10763"/>
    <w:rsid w:val="00C1434A"/>
    <w:rsid w:val="00C32B48"/>
    <w:rsid w:val="00C3544C"/>
    <w:rsid w:val="00C35F4A"/>
    <w:rsid w:val="00C41428"/>
    <w:rsid w:val="00C42592"/>
    <w:rsid w:val="00C6202A"/>
    <w:rsid w:val="00C62FCE"/>
    <w:rsid w:val="00C63567"/>
    <w:rsid w:val="00C63E0B"/>
    <w:rsid w:val="00C71F19"/>
    <w:rsid w:val="00C77A24"/>
    <w:rsid w:val="00CA4BF2"/>
    <w:rsid w:val="00CB238B"/>
    <w:rsid w:val="00CB700F"/>
    <w:rsid w:val="00CC2E59"/>
    <w:rsid w:val="00CD2434"/>
    <w:rsid w:val="00D05EFC"/>
    <w:rsid w:val="00D15F23"/>
    <w:rsid w:val="00D355E8"/>
    <w:rsid w:val="00D53FA0"/>
    <w:rsid w:val="00D64044"/>
    <w:rsid w:val="00D85BFB"/>
    <w:rsid w:val="00D87EFB"/>
    <w:rsid w:val="00DB588E"/>
    <w:rsid w:val="00DD23BA"/>
    <w:rsid w:val="00DD3581"/>
    <w:rsid w:val="00DD50AC"/>
    <w:rsid w:val="00DE185C"/>
    <w:rsid w:val="00DF11AF"/>
    <w:rsid w:val="00DF18C1"/>
    <w:rsid w:val="00DF3470"/>
    <w:rsid w:val="00DF5E24"/>
    <w:rsid w:val="00DF7C15"/>
    <w:rsid w:val="00E02A96"/>
    <w:rsid w:val="00E11430"/>
    <w:rsid w:val="00E2537C"/>
    <w:rsid w:val="00E42984"/>
    <w:rsid w:val="00E714C0"/>
    <w:rsid w:val="00E77514"/>
    <w:rsid w:val="00E96A5C"/>
    <w:rsid w:val="00EA0442"/>
    <w:rsid w:val="00EA70EC"/>
    <w:rsid w:val="00EB3995"/>
    <w:rsid w:val="00EB56DF"/>
    <w:rsid w:val="00EB6086"/>
    <w:rsid w:val="00EC7011"/>
    <w:rsid w:val="00ED20F6"/>
    <w:rsid w:val="00ED2E55"/>
    <w:rsid w:val="00ED6BD2"/>
    <w:rsid w:val="00EF198D"/>
    <w:rsid w:val="00EF2F88"/>
    <w:rsid w:val="00EF3BA3"/>
    <w:rsid w:val="00F044EC"/>
    <w:rsid w:val="00F07CAA"/>
    <w:rsid w:val="00F10AF6"/>
    <w:rsid w:val="00F21475"/>
    <w:rsid w:val="00F225E9"/>
    <w:rsid w:val="00F415F2"/>
    <w:rsid w:val="00F41A15"/>
    <w:rsid w:val="00F44787"/>
    <w:rsid w:val="00F537A5"/>
    <w:rsid w:val="00F56D0D"/>
    <w:rsid w:val="00F701F9"/>
    <w:rsid w:val="00F71C21"/>
    <w:rsid w:val="00F71CC9"/>
    <w:rsid w:val="00F71E41"/>
    <w:rsid w:val="00F86120"/>
    <w:rsid w:val="00F95473"/>
    <w:rsid w:val="00F96194"/>
    <w:rsid w:val="00FA0156"/>
    <w:rsid w:val="00FA01EC"/>
    <w:rsid w:val="00FB0BD7"/>
    <w:rsid w:val="00FC6AE9"/>
    <w:rsid w:val="00FD0237"/>
    <w:rsid w:val="00FD52C8"/>
    <w:rsid w:val="00FE283A"/>
    <w:rsid w:val="00FE4815"/>
    <w:rsid w:val="00FE6049"/>
    <w:rsid w:val="00FF7C2E"/>
    <w:rsid w:val="00FF7EC6"/>
    <w:rsid w:val="01010551"/>
    <w:rsid w:val="01074C13"/>
    <w:rsid w:val="010B7146"/>
    <w:rsid w:val="010F1AD8"/>
    <w:rsid w:val="01172A03"/>
    <w:rsid w:val="01174A7F"/>
    <w:rsid w:val="011A224F"/>
    <w:rsid w:val="011D2624"/>
    <w:rsid w:val="011F04D2"/>
    <w:rsid w:val="01266564"/>
    <w:rsid w:val="0132019A"/>
    <w:rsid w:val="013553D0"/>
    <w:rsid w:val="01457BCF"/>
    <w:rsid w:val="014F4893"/>
    <w:rsid w:val="01521C8D"/>
    <w:rsid w:val="01581590"/>
    <w:rsid w:val="01587514"/>
    <w:rsid w:val="015E0D27"/>
    <w:rsid w:val="01621B95"/>
    <w:rsid w:val="01703299"/>
    <w:rsid w:val="017B2F92"/>
    <w:rsid w:val="017D293B"/>
    <w:rsid w:val="01991DFB"/>
    <w:rsid w:val="019E59BA"/>
    <w:rsid w:val="019F2C19"/>
    <w:rsid w:val="01A276EA"/>
    <w:rsid w:val="01A77EF1"/>
    <w:rsid w:val="01AF01E7"/>
    <w:rsid w:val="01B25538"/>
    <w:rsid w:val="01C501FE"/>
    <w:rsid w:val="01D8057D"/>
    <w:rsid w:val="01D93B6E"/>
    <w:rsid w:val="01DD654B"/>
    <w:rsid w:val="01DF690F"/>
    <w:rsid w:val="01EB5D3D"/>
    <w:rsid w:val="01ED51FD"/>
    <w:rsid w:val="01F11150"/>
    <w:rsid w:val="01FB04EB"/>
    <w:rsid w:val="02104E40"/>
    <w:rsid w:val="02185422"/>
    <w:rsid w:val="02227F32"/>
    <w:rsid w:val="0223369D"/>
    <w:rsid w:val="023572AA"/>
    <w:rsid w:val="02370A74"/>
    <w:rsid w:val="02387300"/>
    <w:rsid w:val="023E21A6"/>
    <w:rsid w:val="0246777B"/>
    <w:rsid w:val="024A54F6"/>
    <w:rsid w:val="024B60C0"/>
    <w:rsid w:val="025E7ED2"/>
    <w:rsid w:val="02696A4A"/>
    <w:rsid w:val="027125E7"/>
    <w:rsid w:val="02767B92"/>
    <w:rsid w:val="027A02CD"/>
    <w:rsid w:val="02802069"/>
    <w:rsid w:val="02811C50"/>
    <w:rsid w:val="02822952"/>
    <w:rsid w:val="028C5698"/>
    <w:rsid w:val="029153CE"/>
    <w:rsid w:val="029543A8"/>
    <w:rsid w:val="029C6C4C"/>
    <w:rsid w:val="02AE528F"/>
    <w:rsid w:val="02C7497D"/>
    <w:rsid w:val="02D4635F"/>
    <w:rsid w:val="02DB4092"/>
    <w:rsid w:val="02E745A4"/>
    <w:rsid w:val="02EB1D82"/>
    <w:rsid w:val="02EB5488"/>
    <w:rsid w:val="02F10FD5"/>
    <w:rsid w:val="030C33A8"/>
    <w:rsid w:val="0316224B"/>
    <w:rsid w:val="0327070A"/>
    <w:rsid w:val="032B00B4"/>
    <w:rsid w:val="032B3A0E"/>
    <w:rsid w:val="03316B3C"/>
    <w:rsid w:val="03422379"/>
    <w:rsid w:val="034B4CE1"/>
    <w:rsid w:val="035B2B87"/>
    <w:rsid w:val="03610C48"/>
    <w:rsid w:val="03630D87"/>
    <w:rsid w:val="0371289F"/>
    <w:rsid w:val="03717787"/>
    <w:rsid w:val="037310CC"/>
    <w:rsid w:val="03783980"/>
    <w:rsid w:val="038372E1"/>
    <w:rsid w:val="03856FE9"/>
    <w:rsid w:val="03885B72"/>
    <w:rsid w:val="03930D6F"/>
    <w:rsid w:val="03941B37"/>
    <w:rsid w:val="03A35DF6"/>
    <w:rsid w:val="03AB09EC"/>
    <w:rsid w:val="03AC4ECB"/>
    <w:rsid w:val="03B361EB"/>
    <w:rsid w:val="03B406F8"/>
    <w:rsid w:val="03C1120E"/>
    <w:rsid w:val="03C52A65"/>
    <w:rsid w:val="03C87043"/>
    <w:rsid w:val="03D469D1"/>
    <w:rsid w:val="03DB267A"/>
    <w:rsid w:val="03E0652D"/>
    <w:rsid w:val="03F10434"/>
    <w:rsid w:val="04050331"/>
    <w:rsid w:val="040858EF"/>
    <w:rsid w:val="040B181D"/>
    <w:rsid w:val="040D5DB1"/>
    <w:rsid w:val="04206073"/>
    <w:rsid w:val="043F5114"/>
    <w:rsid w:val="04440A30"/>
    <w:rsid w:val="04495F6D"/>
    <w:rsid w:val="0450314B"/>
    <w:rsid w:val="045D1D96"/>
    <w:rsid w:val="045F3526"/>
    <w:rsid w:val="0460113B"/>
    <w:rsid w:val="04612647"/>
    <w:rsid w:val="046425EE"/>
    <w:rsid w:val="047B5B10"/>
    <w:rsid w:val="0485220D"/>
    <w:rsid w:val="04875F5A"/>
    <w:rsid w:val="048C52D9"/>
    <w:rsid w:val="04902111"/>
    <w:rsid w:val="04933551"/>
    <w:rsid w:val="049827DC"/>
    <w:rsid w:val="04A25279"/>
    <w:rsid w:val="04AF5EAE"/>
    <w:rsid w:val="04C4799B"/>
    <w:rsid w:val="04CC4230"/>
    <w:rsid w:val="04D6330D"/>
    <w:rsid w:val="04DF723D"/>
    <w:rsid w:val="04ED4D8C"/>
    <w:rsid w:val="04F10E85"/>
    <w:rsid w:val="04F12828"/>
    <w:rsid w:val="04F93857"/>
    <w:rsid w:val="05141484"/>
    <w:rsid w:val="052F723E"/>
    <w:rsid w:val="053464B3"/>
    <w:rsid w:val="05394357"/>
    <w:rsid w:val="05396264"/>
    <w:rsid w:val="053A75BD"/>
    <w:rsid w:val="054A00C9"/>
    <w:rsid w:val="055252F0"/>
    <w:rsid w:val="05556A4A"/>
    <w:rsid w:val="056A5E6A"/>
    <w:rsid w:val="056C278E"/>
    <w:rsid w:val="056D1C0B"/>
    <w:rsid w:val="056D3391"/>
    <w:rsid w:val="05705C9E"/>
    <w:rsid w:val="0584631F"/>
    <w:rsid w:val="05856FF3"/>
    <w:rsid w:val="059A1CFC"/>
    <w:rsid w:val="059B367B"/>
    <w:rsid w:val="059D487E"/>
    <w:rsid w:val="05A3796D"/>
    <w:rsid w:val="05AA2192"/>
    <w:rsid w:val="05BB3660"/>
    <w:rsid w:val="05C12198"/>
    <w:rsid w:val="05C334FA"/>
    <w:rsid w:val="05C80B80"/>
    <w:rsid w:val="05CE5270"/>
    <w:rsid w:val="05DB0F5C"/>
    <w:rsid w:val="05DE48B3"/>
    <w:rsid w:val="05E0751B"/>
    <w:rsid w:val="05F37C43"/>
    <w:rsid w:val="05F7405D"/>
    <w:rsid w:val="05F975F8"/>
    <w:rsid w:val="05FF5304"/>
    <w:rsid w:val="06016C1C"/>
    <w:rsid w:val="0603725B"/>
    <w:rsid w:val="06092193"/>
    <w:rsid w:val="060E1B99"/>
    <w:rsid w:val="06125BE9"/>
    <w:rsid w:val="062B25B3"/>
    <w:rsid w:val="064638FF"/>
    <w:rsid w:val="06503EDD"/>
    <w:rsid w:val="065C5050"/>
    <w:rsid w:val="066253AB"/>
    <w:rsid w:val="067E0EBC"/>
    <w:rsid w:val="067E34AD"/>
    <w:rsid w:val="0685363E"/>
    <w:rsid w:val="068B4806"/>
    <w:rsid w:val="06950F06"/>
    <w:rsid w:val="06A01657"/>
    <w:rsid w:val="06A80D9C"/>
    <w:rsid w:val="06B44B5F"/>
    <w:rsid w:val="06B778A2"/>
    <w:rsid w:val="06C270B5"/>
    <w:rsid w:val="06C872F3"/>
    <w:rsid w:val="06CA713B"/>
    <w:rsid w:val="06D335F8"/>
    <w:rsid w:val="06E42B38"/>
    <w:rsid w:val="06EE580B"/>
    <w:rsid w:val="06F47A4A"/>
    <w:rsid w:val="06F7318A"/>
    <w:rsid w:val="06F86F5E"/>
    <w:rsid w:val="06FD31BA"/>
    <w:rsid w:val="072C710F"/>
    <w:rsid w:val="07342561"/>
    <w:rsid w:val="07362EFC"/>
    <w:rsid w:val="07372CE0"/>
    <w:rsid w:val="073D4A68"/>
    <w:rsid w:val="07591F59"/>
    <w:rsid w:val="075D175A"/>
    <w:rsid w:val="075D4810"/>
    <w:rsid w:val="075E3FD0"/>
    <w:rsid w:val="07614445"/>
    <w:rsid w:val="07630435"/>
    <w:rsid w:val="077452BA"/>
    <w:rsid w:val="078944CF"/>
    <w:rsid w:val="07A24C32"/>
    <w:rsid w:val="07B24E09"/>
    <w:rsid w:val="07C214E0"/>
    <w:rsid w:val="07E74E9B"/>
    <w:rsid w:val="07E850FA"/>
    <w:rsid w:val="07F77F3B"/>
    <w:rsid w:val="07FB3F51"/>
    <w:rsid w:val="07FB711D"/>
    <w:rsid w:val="08085A2B"/>
    <w:rsid w:val="0809618F"/>
    <w:rsid w:val="08176946"/>
    <w:rsid w:val="081E23F2"/>
    <w:rsid w:val="081F489A"/>
    <w:rsid w:val="082059E3"/>
    <w:rsid w:val="08342457"/>
    <w:rsid w:val="08363D6A"/>
    <w:rsid w:val="08491446"/>
    <w:rsid w:val="08531CA1"/>
    <w:rsid w:val="0861236B"/>
    <w:rsid w:val="08632B85"/>
    <w:rsid w:val="08686232"/>
    <w:rsid w:val="0875597A"/>
    <w:rsid w:val="08787B97"/>
    <w:rsid w:val="08792957"/>
    <w:rsid w:val="08983324"/>
    <w:rsid w:val="089A3ED7"/>
    <w:rsid w:val="089F4DC3"/>
    <w:rsid w:val="08A143C3"/>
    <w:rsid w:val="08AF0FC4"/>
    <w:rsid w:val="08B30A3C"/>
    <w:rsid w:val="08B97457"/>
    <w:rsid w:val="08C01B61"/>
    <w:rsid w:val="08C43F67"/>
    <w:rsid w:val="08C45A0C"/>
    <w:rsid w:val="08C72724"/>
    <w:rsid w:val="08D2694A"/>
    <w:rsid w:val="08E96EDF"/>
    <w:rsid w:val="08F41517"/>
    <w:rsid w:val="090536BD"/>
    <w:rsid w:val="09066929"/>
    <w:rsid w:val="09180D81"/>
    <w:rsid w:val="09192C94"/>
    <w:rsid w:val="091E6157"/>
    <w:rsid w:val="091F05CF"/>
    <w:rsid w:val="09227977"/>
    <w:rsid w:val="092D4445"/>
    <w:rsid w:val="093C1086"/>
    <w:rsid w:val="09427B32"/>
    <w:rsid w:val="09443AC8"/>
    <w:rsid w:val="09451EAA"/>
    <w:rsid w:val="094736A5"/>
    <w:rsid w:val="09596B31"/>
    <w:rsid w:val="095A3DD5"/>
    <w:rsid w:val="096F5333"/>
    <w:rsid w:val="098113D3"/>
    <w:rsid w:val="0983182F"/>
    <w:rsid w:val="098501EF"/>
    <w:rsid w:val="09876665"/>
    <w:rsid w:val="09937924"/>
    <w:rsid w:val="09A84B40"/>
    <w:rsid w:val="09AB4534"/>
    <w:rsid w:val="09C56089"/>
    <w:rsid w:val="09D41776"/>
    <w:rsid w:val="09D83FD7"/>
    <w:rsid w:val="09F0394D"/>
    <w:rsid w:val="09FA2523"/>
    <w:rsid w:val="09FF6440"/>
    <w:rsid w:val="0A026787"/>
    <w:rsid w:val="0A0F7F03"/>
    <w:rsid w:val="0A116B8A"/>
    <w:rsid w:val="0A5D3163"/>
    <w:rsid w:val="0A78573A"/>
    <w:rsid w:val="0A87376B"/>
    <w:rsid w:val="0A8B35D1"/>
    <w:rsid w:val="0A8D7D9A"/>
    <w:rsid w:val="0A9F6C64"/>
    <w:rsid w:val="0AA07C87"/>
    <w:rsid w:val="0AB2140A"/>
    <w:rsid w:val="0AB63798"/>
    <w:rsid w:val="0ACC384F"/>
    <w:rsid w:val="0AD072A2"/>
    <w:rsid w:val="0AD400FF"/>
    <w:rsid w:val="0AD52AA5"/>
    <w:rsid w:val="0AE62BA5"/>
    <w:rsid w:val="0AE712B5"/>
    <w:rsid w:val="0AEF3BBD"/>
    <w:rsid w:val="0B067053"/>
    <w:rsid w:val="0B0B4099"/>
    <w:rsid w:val="0B0D656D"/>
    <w:rsid w:val="0B162042"/>
    <w:rsid w:val="0B201834"/>
    <w:rsid w:val="0B2965AA"/>
    <w:rsid w:val="0B2C4364"/>
    <w:rsid w:val="0B31066F"/>
    <w:rsid w:val="0B3643CE"/>
    <w:rsid w:val="0B4E7315"/>
    <w:rsid w:val="0B5F59A7"/>
    <w:rsid w:val="0B633A8B"/>
    <w:rsid w:val="0B690EE3"/>
    <w:rsid w:val="0B694142"/>
    <w:rsid w:val="0B69678C"/>
    <w:rsid w:val="0B6A3B46"/>
    <w:rsid w:val="0B711A48"/>
    <w:rsid w:val="0B784EE3"/>
    <w:rsid w:val="0B836106"/>
    <w:rsid w:val="0B861876"/>
    <w:rsid w:val="0B974B62"/>
    <w:rsid w:val="0BA04DE4"/>
    <w:rsid w:val="0BBD30E4"/>
    <w:rsid w:val="0BC42E20"/>
    <w:rsid w:val="0BD369C4"/>
    <w:rsid w:val="0BD74A56"/>
    <w:rsid w:val="0BDF1A9B"/>
    <w:rsid w:val="0BE048B8"/>
    <w:rsid w:val="0BE328CA"/>
    <w:rsid w:val="0BE667FA"/>
    <w:rsid w:val="0BEE2512"/>
    <w:rsid w:val="0BF33DBE"/>
    <w:rsid w:val="0BFB2AC2"/>
    <w:rsid w:val="0BFC710E"/>
    <w:rsid w:val="0BFC7FE7"/>
    <w:rsid w:val="0C045EF7"/>
    <w:rsid w:val="0C0701B3"/>
    <w:rsid w:val="0C0E0870"/>
    <w:rsid w:val="0C17768C"/>
    <w:rsid w:val="0C1E0960"/>
    <w:rsid w:val="0C270D27"/>
    <w:rsid w:val="0C2C1E30"/>
    <w:rsid w:val="0C2C5916"/>
    <w:rsid w:val="0C3C3983"/>
    <w:rsid w:val="0C3F5A94"/>
    <w:rsid w:val="0C4E17DC"/>
    <w:rsid w:val="0C515B3C"/>
    <w:rsid w:val="0C63636E"/>
    <w:rsid w:val="0C8238F5"/>
    <w:rsid w:val="0C863A0F"/>
    <w:rsid w:val="0C8C4AF6"/>
    <w:rsid w:val="0C9020AE"/>
    <w:rsid w:val="0CB03F52"/>
    <w:rsid w:val="0CC64069"/>
    <w:rsid w:val="0CCA7CE9"/>
    <w:rsid w:val="0CCB284F"/>
    <w:rsid w:val="0CD53056"/>
    <w:rsid w:val="0CD811B3"/>
    <w:rsid w:val="0CEB43FB"/>
    <w:rsid w:val="0D000D6D"/>
    <w:rsid w:val="0D051B33"/>
    <w:rsid w:val="0D2224F9"/>
    <w:rsid w:val="0D402CC7"/>
    <w:rsid w:val="0D435DE3"/>
    <w:rsid w:val="0D475D34"/>
    <w:rsid w:val="0D494A00"/>
    <w:rsid w:val="0D49663A"/>
    <w:rsid w:val="0D4F3FF5"/>
    <w:rsid w:val="0D673F02"/>
    <w:rsid w:val="0D724D77"/>
    <w:rsid w:val="0D7A4F50"/>
    <w:rsid w:val="0D841562"/>
    <w:rsid w:val="0D857C3A"/>
    <w:rsid w:val="0D877BB2"/>
    <w:rsid w:val="0D9E30A0"/>
    <w:rsid w:val="0DA34B36"/>
    <w:rsid w:val="0DA67905"/>
    <w:rsid w:val="0DAE3D66"/>
    <w:rsid w:val="0DAF00EF"/>
    <w:rsid w:val="0DBC2EC7"/>
    <w:rsid w:val="0DC60BC6"/>
    <w:rsid w:val="0DD353CB"/>
    <w:rsid w:val="0DDC30E6"/>
    <w:rsid w:val="0DDD145E"/>
    <w:rsid w:val="0DDE34CC"/>
    <w:rsid w:val="0DE46A43"/>
    <w:rsid w:val="0DEA60AB"/>
    <w:rsid w:val="0DED4509"/>
    <w:rsid w:val="0DEE5E80"/>
    <w:rsid w:val="0DF017A6"/>
    <w:rsid w:val="0DF06F84"/>
    <w:rsid w:val="0DF35B9B"/>
    <w:rsid w:val="0E0F0EFA"/>
    <w:rsid w:val="0E120345"/>
    <w:rsid w:val="0E125035"/>
    <w:rsid w:val="0E2277CB"/>
    <w:rsid w:val="0E25294C"/>
    <w:rsid w:val="0E2E0C1A"/>
    <w:rsid w:val="0E2F7C00"/>
    <w:rsid w:val="0E4038D5"/>
    <w:rsid w:val="0E4D07D5"/>
    <w:rsid w:val="0E5450F6"/>
    <w:rsid w:val="0E5B3BF0"/>
    <w:rsid w:val="0E637909"/>
    <w:rsid w:val="0E706216"/>
    <w:rsid w:val="0E7C525B"/>
    <w:rsid w:val="0E7E60FE"/>
    <w:rsid w:val="0E880933"/>
    <w:rsid w:val="0E881D5C"/>
    <w:rsid w:val="0E8917B6"/>
    <w:rsid w:val="0E8A4645"/>
    <w:rsid w:val="0E8B108F"/>
    <w:rsid w:val="0E905C15"/>
    <w:rsid w:val="0E943186"/>
    <w:rsid w:val="0E964D7C"/>
    <w:rsid w:val="0EA00832"/>
    <w:rsid w:val="0EA127F1"/>
    <w:rsid w:val="0EB9744D"/>
    <w:rsid w:val="0EBC45EF"/>
    <w:rsid w:val="0EC0127A"/>
    <w:rsid w:val="0EC04C2D"/>
    <w:rsid w:val="0EC41180"/>
    <w:rsid w:val="0EC816AB"/>
    <w:rsid w:val="0ECA0196"/>
    <w:rsid w:val="0ECB39D1"/>
    <w:rsid w:val="0ED068AD"/>
    <w:rsid w:val="0ED778BA"/>
    <w:rsid w:val="0EE06B2A"/>
    <w:rsid w:val="0EE228A3"/>
    <w:rsid w:val="0EF936C5"/>
    <w:rsid w:val="0F0119D8"/>
    <w:rsid w:val="0F1538BD"/>
    <w:rsid w:val="0F2118D0"/>
    <w:rsid w:val="0F212FDF"/>
    <w:rsid w:val="0F271E00"/>
    <w:rsid w:val="0F2A1AE2"/>
    <w:rsid w:val="0F361AF3"/>
    <w:rsid w:val="0F41124E"/>
    <w:rsid w:val="0F46046F"/>
    <w:rsid w:val="0F483E48"/>
    <w:rsid w:val="0F5B1ECF"/>
    <w:rsid w:val="0F70451D"/>
    <w:rsid w:val="0F71139E"/>
    <w:rsid w:val="0F757504"/>
    <w:rsid w:val="0F765CDA"/>
    <w:rsid w:val="0F7B6B54"/>
    <w:rsid w:val="0F7F1151"/>
    <w:rsid w:val="0F84395A"/>
    <w:rsid w:val="0F862E98"/>
    <w:rsid w:val="0FA00A85"/>
    <w:rsid w:val="0FA03D02"/>
    <w:rsid w:val="0FA46077"/>
    <w:rsid w:val="0FB6395F"/>
    <w:rsid w:val="0FBB77D2"/>
    <w:rsid w:val="0FC00684"/>
    <w:rsid w:val="0FCD1D6A"/>
    <w:rsid w:val="0FD0534A"/>
    <w:rsid w:val="0FE05631"/>
    <w:rsid w:val="0FE41084"/>
    <w:rsid w:val="0FE56AF6"/>
    <w:rsid w:val="0FE805C6"/>
    <w:rsid w:val="0FF371E5"/>
    <w:rsid w:val="0FF56194"/>
    <w:rsid w:val="100872A4"/>
    <w:rsid w:val="1010532D"/>
    <w:rsid w:val="10135715"/>
    <w:rsid w:val="101C492A"/>
    <w:rsid w:val="102C3F31"/>
    <w:rsid w:val="102C638C"/>
    <w:rsid w:val="102F4635"/>
    <w:rsid w:val="10360209"/>
    <w:rsid w:val="103E0EDE"/>
    <w:rsid w:val="103E5ED8"/>
    <w:rsid w:val="10424EDA"/>
    <w:rsid w:val="1049663B"/>
    <w:rsid w:val="104E3B20"/>
    <w:rsid w:val="10506200"/>
    <w:rsid w:val="10585332"/>
    <w:rsid w:val="105C116E"/>
    <w:rsid w:val="10663F83"/>
    <w:rsid w:val="10762190"/>
    <w:rsid w:val="107D7F1B"/>
    <w:rsid w:val="10801D2B"/>
    <w:rsid w:val="108049DA"/>
    <w:rsid w:val="108239CC"/>
    <w:rsid w:val="108953E6"/>
    <w:rsid w:val="109669EA"/>
    <w:rsid w:val="109B3F9B"/>
    <w:rsid w:val="109C6E7D"/>
    <w:rsid w:val="109F0FFA"/>
    <w:rsid w:val="10B14BA6"/>
    <w:rsid w:val="10B52A82"/>
    <w:rsid w:val="10BA6606"/>
    <w:rsid w:val="10BF6E52"/>
    <w:rsid w:val="10C92533"/>
    <w:rsid w:val="10CA1840"/>
    <w:rsid w:val="10CD53F0"/>
    <w:rsid w:val="10CE4270"/>
    <w:rsid w:val="10E14FB0"/>
    <w:rsid w:val="11003E85"/>
    <w:rsid w:val="110F326B"/>
    <w:rsid w:val="111D39A2"/>
    <w:rsid w:val="111D7E14"/>
    <w:rsid w:val="11325410"/>
    <w:rsid w:val="113F277F"/>
    <w:rsid w:val="11463A7A"/>
    <w:rsid w:val="11532B7F"/>
    <w:rsid w:val="1159025B"/>
    <w:rsid w:val="11672856"/>
    <w:rsid w:val="11744F2B"/>
    <w:rsid w:val="117F43E0"/>
    <w:rsid w:val="118026D1"/>
    <w:rsid w:val="118179DA"/>
    <w:rsid w:val="118D7330"/>
    <w:rsid w:val="1190799A"/>
    <w:rsid w:val="119B57A1"/>
    <w:rsid w:val="11B72DAD"/>
    <w:rsid w:val="11BB125C"/>
    <w:rsid w:val="11C13B26"/>
    <w:rsid w:val="11C20196"/>
    <w:rsid w:val="11CA186C"/>
    <w:rsid w:val="11CC1613"/>
    <w:rsid w:val="11D27E95"/>
    <w:rsid w:val="11DD461F"/>
    <w:rsid w:val="11DF30C9"/>
    <w:rsid w:val="11E33617"/>
    <w:rsid w:val="11E50954"/>
    <w:rsid w:val="11E64021"/>
    <w:rsid w:val="120355DF"/>
    <w:rsid w:val="120623AA"/>
    <w:rsid w:val="12087BCF"/>
    <w:rsid w:val="12090538"/>
    <w:rsid w:val="120D17A3"/>
    <w:rsid w:val="121413EE"/>
    <w:rsid w:val="12170C15"/>
    <w:rsid w:val="121F70A5"/>
    <w:rsid w:val="123D1226"/>
    <w:rsid w:val="12451CF4"/>
    <w:rsid w:val="124A47E3"/>
    <w:rsid w:val="124B1599"/>
    <w:rsid w:val="126613E9"/>
    <w:rsid w:val="12666A46"/>
    <w:rsid w:val="12865631"/>
    <w:rsid w:val="128D5A4C"/>
    <w:rsid w:val="12A464D5"/>
    <w:rsid w:val="12A5408E"/>
    <w:rsid w:val="12B62C62"/>
    <w:rsid w:val="12BD7F4B"/>
    <w:rsid w:val="12C422AB"/>
    <w:rsid w:val="12D510D5"/>
    <w:rsid w:val="12D828DB"/>
    <w:rsid w:val="12DA0CB2"/>
    <w:rsid w:val="12DD1CFF"/>
    <w:rsid w:val="12E7730B"/>
    <w:rsid w:val="12F26485"/>
    <w:rsid w:val="12F53B36"/>
    <w:rsid w:val="12F73C48"/>
    <w:rsid w:val="12F900E5"/>
    <w:rsid w:val="12FB3F33"/>
    <w:rsid w:val="13046A8F"/>
    <w:rsid w:val="130C045D"/>
    <w:rsid w:val="13176C5B"/>
    <w:rsid w:val="13176FDC"/>
    <w:rsid w:val="131B672B"/>
    <w:rsid w:val="131D3FED"/>
    <w:rsid w:val="13263F4B"/>
    <w:rsid w:val="132744F9"/>
    <w:rsid w:val="132B028B"/>
    <w:rsid w:val="135066C3"/>
    <w:rsid w:val="13541C64"/>
    <w:rsid w:val="135C1FC0"/>
    <w:rsid w:val="13631E88"/>
    <w:rsid w:val="136E00F7"/>
    <w:rsid w:val="137959D2"/>
    <w:rsid w:val="1389413E"/>
    <w:rsid w:val="138A48F9"/>
    <w:rsid w:val="13B23C47"/>
    <w:rsid w:val="13BC2E0C"/>
    <w:rsid w:val="13CD64A6"/>
    <w:rsid w:val="13D41328"/>
    <w:rsid w:val="13DB57DE"/>
    <w:rsid w:val="13ED3796"/>
    <w:rsid w:val="13EE3A48"/>
    <w:rsid w:val="13EF6C5A"/>
    <w:rsid w:val="13F26EEF"/>
    <w:rsid w:val="140507E9"/>
    <w:rsid w:val="14170E9C"/>
    <w:rsid w:val="14192869"/>
    <w:rsid w:val="141B6FAE"/>
    <w:rsid w:val="141C7119"/>
    <w:rsid w:val="14232C2E"/>
    <w:rsid w:val="143408E4"/>
    <w:rsid w:val="144025E2"/>
    <w:rsid w:val="1459412F"/>
    <w:rsid w:val="145A74AE"/>
    <w:rsid w:val="14632545"/>
    <w:rsid w:val="146C7223"/>
    <w:rsid w:val="146C7D4F"/>
    <w:rsid w:val="14766494"/>
    <w:rsid w:val="149E4CD4"/>
    <w:rsid w:val="14A23A04"/>
    <w:rsid w:val="14A55B9D"/>
    <w:rsid w:val="14A63F6D"/>
    <w:rsid w:val="14B12B82"/>
    <w:rsid w:val="14B77582"/>
    <w:rsid w:val="14BD1496"/>
    <w:rsid w:val="14C60897"/>
    <w:rsid w:val="14C73686"/>
    <w:rsid w:val="14CA542F"/>
    <w:rsid w:val="14D907B9"/>
    <w:rsid w:val="14E40C32"/>
    <w:rsid w:val="14F2059D"/>
    <w:rsid w:val="14F640F1"/>
    <w:rsid w:val="150040A6"/>
    <w:rsid w:val="1503166D"/>
    <w:rsid w:val="150D7FCA"/>
    <w:rsid w:val="15121D0E"/>
    <w:rsid w:val="15211DA6"/>
    <w:rsid w:val="1523615F"/>
    <w:rsid w:val="15262782"/>
    <w:rsid w:val="15277504"/>
    <w:rsid w:val="152D6299"/>
    <w:rsid w:val="1536195E"/>
    <w:rsid w:val="15442A28"/>
    <w:rsid w:val="155E0542"/>
    <w:rsid w:val="15640F4A"/>
    <w:rsid w:val="1565704A"/>
    <w:rsid w:val="15745E94"/>
    <w:rsid w:val="157D4738"/>
    <w:rsid w:val="15913BFF"/>
    <w:rsid w:val="15992BEB"/>
    <w:rsid w:val="15B160FE"/>
    <w:rsid w:val="15B96DE3"/>
    <w:rsid w:val="15C004CF"/>
    <w:rsid w:val="15D30F40"/>
    <w:rsid w:val="15D554DA"/>
    <w:rsid w:val="15D62207"/>
    <w:rsid w:val="15DC292A"/>
    <w:rsid w:val="15E020DC"/>
    <w:rsid w:val="15E04CA5"/>
    <w:rsid w:val="15E50ECA"/>
    <w:rsid w:val="15FC7728"/>
    <w:rsid w:val="16016122"/>
    <w:rsid w:val="160453B5"/>
    <w:rsid w:val="160573F6"/>
    <w:rsid w:val="160725E6"/>
    <w:rsid w:val="160B5609"/>
    <w:rsid w:val="160B75FE"/>
    <w:rsid w:val="160E0D0F"/>
    <w:rsid w:val="16171F13"/>
    <w:rsid w:val="1620368D"/>
    <w:rsid w:val="16256A18"/>
    <w:rsid w:val="162A0A98"/>
    <w:rsid w:val="16301623"/>
    <w:rsid w:val="163360DA"/>
    <w:rsid w:val="16406E52"/>
    <w:rsid w:val="16542D6D"/>
    <w:rsid w:val="165740D5"/>
    <w:rsid w:val="165C3664"/>
    <w:rsid w:val="16663DB9"/>
    <w:rsid w:val="167D034B"/>
    <w:rsid w:val="1682560D"/>
    <w:rsid w:val="1683568D"/>
    <w:rsid w:val="1685405E"/>
    <w:rsid w:val="169F16A6"/>
    <w:rsid w:val="16A11EDF"/>
    <w:rsid w:val="16AE3FD8"/>
    <w:rsid w:val="16C11EA2"/>
    <w:rsid w:val="16C51CC7"/>
    <w:rsid w:val="16C8282D"/>
    <w:rsid w:val="16E3540A"/>
    <w:rsid w:val="16F37A6A"/>
    <w:rsid w:val="16F41A35"/>
    <w:rsid w:val="16FD4035"/>
    <w:rsid w:val="17112BC7"/>
    <w:rsid w:val="17171557"/>
    <w:rsid w:val="171B1A4B"/>
    <w:rsid w:val="171B418A"/>
    <w:rsid w:val="17315AA4"/>
    <w:rsid w:val="173249A2"/>
    <w:rsid w:val="173961A4"/>
    <w:rsid w:val="173B5D28"/>
    <w:rsid w:val="173C0D11"/>
    <w:rsid w:val="17451C21"/>
    <w:rsid w:val="17606E7A"/>
    <w:rsid w:val="1765079C"/>
    <w:rsid w:val="176A6F7C"/>
    <w:rsid w:val="1771229B"/>
    <w:rsid w:val="17755E42"/>
    <w:rsid w:val="17765614"/>
    <w:rsid w:val="17782CF3"/>
    <w:rsid w:val="17852E18"/>
    <w:rsid w:val="178921C3"/>
    <w:rsid w:val="178F72C7"/>
    <w:rsid w:val="17901A33"/>
    <w:rsid w:val="17A63036"/>
    <w:rsid w:val="17B005F5"/>
    <w:rsid w:val="17B357C4"/>
    <w:rsid w:val="17B46B4A"/>
    <w:rsid w:val="17B708FE"/>
    <w:rsid w:val="17C201A2"/>
    <w:rsid w:val="17C256B6"/>
    <w:rsid w:val="17D51553"/>
    <w:rsid w:val="17D74149"/>
    <w:rsid w:val="17E71C6F"/>
    <w:rsid w:val="17EF69B5"/>
    <w:rsid w:val="17F372E7"/>
    <w:rsid w:val="18046C97"/>
    <w:rsid w:val="180C70B9"/>
    <w:rsid w:val="18184E41"/>
    <w:rsid w:val="18186149"/>
    <w:rsid w:val="181C2344"/>
    <w:rsid w:val="182561C2"/>
    <w:rsid w:val="18283020"/>
    <w:rsid w:val="18337762"/>
    <w:rsid w:val="18351DDC"/>
    <w:rsid w:val="183B7ABA"/>
    <w:rsid w:val="184D13AA"/>
    <w:rsid w:val="186C69E2"/>
    <w:rsid w:val="18797804"/>
    <w:rsid w:val="18830B46"/>
    <w:rsid w:val="1883705A"/>
    <w:rsid w:val="188C7871"/>
    <w:rsid w:val="189E4150"/>
    <w:rsid w:val="18A377EA"/>
    <w:rsid w:val="18A60874"/>
    <w:rsid w:val="18BC70FF"/>
    <w:rsid w:val="18CA1C08"/>
    <w:rsid w:val="18D455C7"/>
    <w:rsid w:val="18D65A88"/>
    <w:rsid w:val="18E6496C"/>
    <w:rsid w:val="18E86FD6"/>
    <w:rsid w:val="18F02FC3"/>
    <w:rsid w:val="18F15303"/>
    <w:rsid w:val="190134FE"/>
    <w:rsid w:val="19021B7A"/>
    <w:rsid w:val="19051408"/>
    <w:rsid w:val="190C1A76"/>
    <w:rsid w:val="1914139E"/>
    <w:rsid w:val="191B76C6"/>
    <w:rsid w:val="19221189"/>
    <w:rsid w:val="19246F5B"/>
    <w:rsid w:val="192B4276"/>
    <w:rsid w:val="19315993"/>
    <w:rsid w:val="1933449A"/>
    <w:rsid w:val="193363D0"/>
    <w:rsid w:val="19382FE4"/>
    <w:rsid w:val="19437C42"/>
    <w:rsid w:val="19534740"/>
    <w:rsid w:val="1958570F"/>
    <w:rsid w:val="195A093D"/>
    <w:rsid w:val="195D7946"/>
    <w:rsid w:val="195E1971"/>
    <w:rsid w:val="19687FCC"/>
    <w:rsid w:val="196A2E0E"/>
    <w:rsid w:val="19781054"/>
    <w:rsid w:val="1981356C"/>
    <w:rsid w:val="198421CF"/>
    <w:rsid w:val="19850C7A"/>
    <w:rsid w:val="19A41FA3"/>
    <w:rsid w:val="19A90B8D"/>
    <w:rsid w:val="19B039E5"/>
    <w:rsid w:val="19B274F3"/>
    <w:rsid w:val="19B73E84"/>
    <w:rsid w:val="19BB4B07"/>
    <w:rsid w:val="19C74349"/>
    <w:rsid w:val="19CD3FE6"/>
    <w:rsid w:val="19DA58D2"/>
    <w:rsid w:val="19E15687"/>
    <w:rsid w:val="19E26A0E"/>
    <w:rsid w:val="19E66799"/>
    <w:rsid w:val="19EC2802"/>
    <w:rsid w:val="19F430A6"/>
    <w:rsid w:val="19F97DFD"/>
    <w:rsid w:val="19FB01A9"/>
    <w:rsid w:val="19FF09FE"/>
    <w:rsid w:val="1A080316"/>
    <w:rsid w:val="1A105795"/>
    <w:rsid w:val="1A13513F"/>
    <w:rsid w:val="1A2E4BEE"/>
    <w:rsid w:val="1A2F3E20"/>
    <w:rsid w:val="1A3603D7"/>
    <w:rsid w:val="1A465DFA"/>
    <w:rsid w:val="1A553AF0"/>
    <w:rsid w:val="1A59596F"/>
    <w:rsid w:val="1A6315A8"/>
    <w:rsid w:val="1A63700A"/>
    <w:rsid w:val="1A666EF9"/>
    <w:rsid w:val="1A6E5F85"/>
    <w:rsid w:val="1A793698"/>
    <w:rsid w:val="1A9418C4"/>
    <w:rsid w:val="1AA27C10"/>
    <w:rsid w:val="1AAB13C1"/>
    <w:rsid w:val="1AAB47F3"/>
    <w:rsid w:val="1ACC4A5A"/>
    <w:rsid w:val="1ADC042D"/>
    <w:rsid w:val="1AFC1451"/>
    <w:rsid w:val="1B0A6A06"/>
    <w:rsid w:val="1B0F3471"/>
    <w:rsid w:val="1B1219C5"/>
    <w:rsid w:val="1B18567B"/>
    <w:rsid w:val="1B223CC2"/>
    <w:rsid w:val="1B2331AE"/>
    <w:rsid w:val="1B30786C"/>
    <w:rsid w:val="1B4425FE"/>
    <w:rsid w:val="1B5C5A42"/>
    <w:rsid w:val="1B711BB3"/>
    <w:rsid w:val="1B724FAE"/>
    <w:rsid w:val="1B775075"/>
    <w:rsid w:val="1B7C77EF"/>
    <w:rsid w:val="1B7E3953"/>
    <w:rsid w:val="1B9168E6"/>
    <w:rsid w:val="1B995C5B"/>
    <w:rsid w:val="1BB6762C"/>
    <w:rsid w:val="1BC47DD2"/>
    <w:rsid w:val="1BC972C0"/>
    <w:rsid w:val="1BCF609F"/>
    <w:rsid w:val="1BD01CD5"/>
    <w:rsid w:val="1BD90516"/>
    <w:rsid w:val="1BE933E9"/>
    <w:rsid w:val="1BF3045D"/>
    <w:rsid w:val="1BF82371"/>
    <w:rsid w:val="1BFD6F15"/>
    <w:rsid w:val="1BFF1B15"/>
    <w:rsid w:val="1C001F3E"/>
    <w:rsid w:val="1C1F1E86"/>
    <w:rsid w:val="1C20490B"/>
    <w:rsid w:val="1C3271B2"/>
    <w:rsid w:val="1C3546E9"/>
    <w:rsid w:val="1C403D9E"/>
    <w:rsid w:val="1C4079AA"/>
    <w:rsid w:val="1C534F29"/>
    <w:rsid w:val="1C5D5D7F"/>
    <w:rsid w:val="1C5E4794"/>
    <w:rsid w:val="1C625E29"/>
    <w:rsid w:val="1C68785E"/>
    <w:rsid w:val="1C6B4666"/>
    <w:rsid w:val="1C6C6D5D"/>
    <w:rsid w:val="1C6E4BB9"/>
    <w:rsid w:val="1C825F8A"/>
    <w:rsid w:val="1C8D59F5"/>
    <w:rsid w:val="1C8E3BD7"/>
    <w:rsid w:val="1C8F39ED"/>
    <w:rsid w:val="1CA3126C"/>
    <w:rsid w:val="1CBF2A05"/>
    <w:rsid w:val="1CD216DC"/>
    <w:rsid w:val="1CD278D4"/>
    <w:rsid w:val="1CDE195E"/>
    <w:rsid w:val="1CDF4A11"/>
    <w:rsid w:val="1D0516E1"/>
    <w:rsid w:val="1D0F038C"/>
    <w:rsid w:val="1D392D75"/>
    <w:rsid w:val="1D4A7289"/>
    <w:rsid w:val="1D4C0F48"/>
    <w:rsid w:val="1D4F4BAA"/>
    <w:rsid w:val="1D526C2C"/>
    <w:rsid w:val="1D531A04"/>
    <w:rsid w:val="1D577D2E"/>
    <w:rsid w:val="1D5D3384"/>
    <w:rsid w:val="1D621455"/>
    <w:rsid w:val="1D70196F"/>
    <w:rsid w:val="1D791BDB"/>
    <w:rsid w:val="1D92745B"/>
    <w:rsid w:val="1D927D66"/>
    <w:rsid w:val="1DA64FC2"/>
    <w:rsid w:val="1DB91EB7"/>
    <w:rsid w:val="1DBF2F11"/>
    <w:rsid w:val="1DD57C35"/>
    <w:rsid w:val="1DE03781"/>
    <w:rsid w:val="1DE51545"/>
    <w:rsid w:val="1DED6D0F"/>
    <w:rsid w:val="1DF742D2"/>
    <w:rsid w:val="1DFC3761"/>
    <w:rsid w:val="1E0167E0"/>
    <w:rsid w:val="1E0228C9"/>
    <w:rsid w:val="1E03367C"/>
    <w:rsid w:val="1E0741D4"/>
    <w:rsid w:val="1E0D3740"/>
    <w:rsid w:val="1E0F0D17"/>
    <w:rsid w:val="1E160ADD"/>
    <w:rsid w:val="1E195143"/>
    <w:rsid w:val="1E1964DD"/>
    <w:rsid w:val="1E2540A7"/>
    <w:rsid w:val="1E263AB2"/>
    <w:rsid w:val="1E316E1F"/>
    <w:rsid w:val="1E5938A0"/>
    <w:rsid w:val="1E64201D"/>
    <w:rsid w:val="1E654226"/>
    <w:rsid w:val="1E6F617E"/>
    <w:rsid w:val="1E715423"/>
    <w:rsid w:val="1E754444"/>
    <w:rsid w:val="1E791917"/>
    <w:rsid w:val="1E7C0CA5"/>
    <w:rsid w:val="1E7E12E4"/>
    <w:rsid w:val="1E8D4F6D"/>
    <w:rsid w:val="1E904199"/>
    <w:rsid w:val="1E914FAD"/>
    <w:rsid w:val="1E987B2F"/>
    <w:rsid w:val="1EA22302"/>
    <w:rsid w:val="1EB16325"/>
    <w:rsid w:val="1EB44D55"/>
    <w:rsid w:val="1EB5144F"/>
    <w:rsid w:val="1EB677A2"/>
    <w:rsid w:val="1EB90471"/>
    <w:rsid w:val="1EC109D3"/>
    <w:rsid w:val="1ED868EC"/>
    <w:rsid w:val="1EDE7C64"/>
    <w:rsid w:val="1EE30827"/>
    <w:rsid w:val="1EEF08C6"/>
    <w:rsid w:val="1F0013CE"/>
    <w:rsid w:val="1F006643"/>
    <w:rsid w:val="1F076DE7"/>
    <w:rsid w:val="1F081E97"/>
    <w:rsid w:val="1F0D776D"/>
    <w:rsid w:val="1F12548B"/>
    <w:rsid w:val="1F1A109C"/>
    <w:rsid w:val="1F221BEE"/>
    <w:rsid w:val="1F233145"/>
    <w:rsid w:val="1F2812D2"/>
    <w:rsid w:val="1F2D6017"/>
    <w:rsid w:val="1F364DB6"/>
    <w:rsid w:val="1F4C7497"/>
    <w:rsid w:val="1F4D244B"/>
    <w:rsid w:val="1F5349F1"/>
    <w:rsid w:val="1F5D5AF6"/>
    <w:rsid w:val="1F6238E1"/>
    <w:rsid w:val="1F641670"/>
    <w:rsid w:val="1F646768"/>
    <w:rsid w:val="1F766E54"/>
    <w:rsid w:val="1F7D1BBC"/>
    <w:rsid w:val="1F7E4D96"/>
    <w:rsid w:val="1F820773"/>
    <w:rsid w:val="1F826723"/>
    <w:rsid w:val="1F9555B6"/>
    <w:rsid w:val="1FA17B14"/>
    <w:rsid w:val="1FA425F3"/>
    <w:rsid w:val="1FAB4AFC"/>
    <w:rsid w:val="1FC4026A"/>
    <w:rsid w:val="1FC4784B"/>
    <w:rsid w:val="1FCF1E36"/>
    <w:rsid w:val="1FEC1933"/>
    <w:rsid w:val="1FF52CDD"/>
    <w:rsid w:val="1FFB4C5A"/>
    <w:rsid w:val="1FFC3FAC"/>
    <w:rsid w:val="1FFE44A5"/>
    <w:rsid w:val="201737F8"/>
    <w:rsid w:val="201804B9"/>
    <w:rsid w:val="2019279F"/>
    <w:rsid w:val="203D1CF7"/>
    <w:rsid w:val="204F2335"/>
    <w:rsid w:val="20592B28"/>
    <w:rsid w:val="20593B9C"/>
    <w:rsid w:val="205D76E5"/>
    <w:rsid w:val="206440DF"/>
    <w:rsid w:val="2074722D"/>
    <w:rsid w:val="20783911"/>
    <w:rsid w:val="207A6BA3"/>
    <w:rsid w:val="208671FD"/>
    <w:rsid w:val="20950E00"/>
    <w:rsid w:val="209537EE"/>
    <w:rsid w:val="209B7088"/>
    <w:rsid w:val="20B107D5"/>
    <w:rsid w:val="20BC532D"/>
    <w:rsid w:val="20C112B1"/>
    <w:rsid w:val="20C64689"/>
    <w:rsid w:val="20C80C9A"/>
    <w:rsid w:val="20CA3197"/>
    <w:rsid w:val="20CA7F99"/>
    <w:rsid w:val="20D3029D"/>
    <w:rsid w:val="20DB1961"/>
    <w:rsid w:val="20DC69A7"/>
    <w:rsid w:val="20DE247B"/>
    <w:rsid w:val="20E445F2"/>
    <w:rsid w:val="20E94CB5"/>
    <w:rsid w:val="20FF73BB"/>
    <w:rsid w:val="2101234C"/>
    <w:rsid w:val="210A52E4"/>
    <w:rsid w:val="210C6858"/>
    <w:rsid w:val="211A0D5B"/>
    <w:rsid w:val="212474DB"/>
    <w:rsid w:val="212843C7"/>
    <w:rsid w:val="212E0A6D"/>
    <w:rsid w:val="21360471"/>
    <w:rsid w:val="213E3291"/>
    <w:rsid w:val="214836F6"/>
    <w:rsid w:val="21483983"/>
    <w:rsid w:val="21484295"/>
    <w:rsid w:val="215239C3"/>
    <w:rsid w:val="21545692"/>
    <w:rsid w:val="2158301B"/>
    <w:rsid w:val="21620CDF"/>
    <w:rsid w:val="2164125E"/>
    <w:rsid w:val="21675C1D"/>
    <w:rsid w:val="216C5789"/>
    <w:rsid w:val="21730376"/>
    <w:rsid w:val="219178FC"/>
    <w:rsid w:val="21996556"/>
    <w:rsid w:val="21A87888"/>
    <w:rsid w:val="21AF62F6"/>
    <w:rsid w:val="21B15B40"/>
    <w:rsid w:val="21BC4049"/>
    <w:rsid w:val="21BD0163"/>
    <w:rsid w:val="21C14631"/>
    <w:rsid w:val="21C66507"/>
    <w:rsid w:val="21C74900"/>
    <w:rsid w:val="21DC0D9D"/>
    <w:rsid w:val="21DC6E58"/>
    <w:rsid w:val="21F050E2"/>
    <w:rsid w:val="21F05E9E"/>
    <w:rsid w:val="21F4496F"/>
    <w:rsid w:val="21F52354"/>
    <w:rsid w:val="21F53786"/>
    <w:rsid w:val="21F833D6"/>
    <w:rsid w:val="21F92EE4"/>
    <w:rsid w:val="21FC62FB"/>
    <w:rsid w:val="220E17FB"/>
    <w:rsid w:val="22107F79"/>
    <w:rsid w:val="22292AE9"/>
    <w:rsid w:val="22294C15"/>
    <w:rsid w:val="222A260B"/>
    <w:rsid w:val="222D068F"/>
    <w:rsid w:val="222D6E3E"/>
    <w:rsid w:val="223A482E"/>
    <w:rsid w:val="223C1F78"/>
    <w:rsid w:val="22431F90"/>
    <w:rsid w:val="22476016"/>
    <w:rsid w:val="22476E0B"/>
    <w:rsid w:val="224A001D"/>
    <w:rsid w:val="225D2EF1"/>
    <w:rsid w:val="22655DE7"/>
    <w:rsid w:val="22742A27"/>
    <w:rsid w:val="22784192"/>
    <w:rsid w:val="22794142"/>
    <w:rsid w:val="22816A88"/>
    <w:rsid w:val="22830BEC"/>
    <w:rsid w:val="228647EE"/>
    <w:rsid w:val="22873491"/>
    <w:rsid w:val="22877591"/>
    <w:rsid w:val="228820FE"/>
    <w:rsid w:val="229317BB"/>
    <w:rsid w:val="22973B4F"/>
    <w:rsid w:val="229B2296"/>
    <w:rsid w:val="22AB7F87"/>
    <w:rsid w:val="22AF4D3A"/>
    <w:rsid w:val="22B30384"/>
    <w:rsid w:val="22C93193"/>
    <w:rsid w:val="22D5626F"/>
    <w:rsid w:val="22E13528"/>
    <w:rsid w:val="22E93745"/>
    <w:rsid w:val="22EE1096"/>
    <w:rsid w:val="22EF1551"/>
    <w:rsid w:val="22F041F8"/>
    <w:rsid w:val="22F0570E"/>
    <w:rsid w:val="22F44BA1"/>
    <w:rsid w:val="23025F4B"/>
    <w:rsid w:val="230A237E"/>
    <w:rsid w:val="2314776E"/>
    <w:rsid w:val="23412DDE"/>
    <w:rsid w:val="23436685"/>
    <w:rsid w:val="234438A0"/>
    <w:rsid w:val="234C00A8"/>
    <w:rsid w:val="2351701D"/>
    <w:rsid w:val="235A5446"/>
    <w:rsid w:val="23697786"/>
    <w:rsid w:val="236D61F3"/>
    <w:rsid w:val="236F247C"/>
    <w:rsid w:val="23741B23"/>
    <w:rsid w:val="23786774"/>
    <w:rsid w:val="23797A1B"/>
    <w:rsid w:val="237E0A3B"/>
    <w:rsid w:val="2381522D"/>
    <w:rsid w:val="238E6641"/>
    <w:rsid w:val="23A73B10"/>
    <w:rsid w:val="23B13D7C"/>
    <w:rsid w:val="23B70C77"/>
    <w:rsid w:val="23C063AD"/>
    <w:rsid w:val="23D505A9"/>
    <w:rsid w:val="23E540D9"/>
    <w:rsid w:val="23F2204E"/>
    <w:rsid w:val="23F54AC9"/>
    <w:rsid w:val="23F848BB"/>
    <w:rsid w:val="24054BD5"/>
    <w:rsid w:val="240A1BB0"/>
    <w:rsid w:val="241A43B0"/>
    <w:rsid w:val="241D5586"/>
    <w:rsid w:val="24246CCD"/>
    <w:rsid w:val="243B27B6"/>
    <w:rsid w:val="243D5C2B"/>
    <w:rsid w:val="24466EDB"/>
    <w:rsid w:val="24514B39"/>
    <w:rsid w:val="24515797"/>
    <w:rsid w:val="2451676F"/>
    <w:rsid w:val="24524E8A"/>
    <w:rsid w:val="24673462"/>
    <w:rsid w:val="24675955"/>
    <w:rsid w:val="246D208B"/>
    <w:rsid w:val="24776BBA"/>
    <w:rsid w:val="24785646"/>
    <w:rsid w:val="248028A1"/>
    <w:rsid w:val="24841DD0"/>
    <w:rsid w:val="24936B36"/>
    <w:rsid w:val="249A6FF3"/>
    <w:rsid w:val="24A26D90"/>
    <w:rsid w:val="24AB4876"/>
    <w:rsid w:val="24B06EE5"/>
    <w:rsid w:val="24BF4EEA"/>
    <w:rsid w:val="24D457F9"/>
    <w:rsid w:val="24E038B7"/>
    <w:rsid w:val="24E45FB4"/>
    <w:rsid w:val="24E92114"/>
    <w:rsid w:val="24EF7670"/>
    <w:rsid w:val="24F85EA0"/>
    <w:rsid w:val="25025C48"/>
    <w:rsid w:val="250710D3"/>
    <w:rsid w:val="251D6F73"/>
    <w:rsid w:val="252457C9"/>
    <w:rsid w:val="25331E0C"/>
    <w:rsid w:val="253E20DF"/>
    <w:rsid w:val="25404627"/>
    <w:rsid w:val="25414119"/>
    <w:rsid w:val="2542028B"/>
    <w:rsid w:val="25456322"/>
    <w:rsid w:val="254F64F0"/>
    <w:rsid w:val="25674672"/>
    <w:rsid w:val="2575220D"/>
    <w:rsid w:val="257A108C"/>
    <w:rsid w:val="25946F0E"/>
    <w:rsid w:val="259A64A3"/>
    <w:rsid w:val="25A24847"/>
    <w:rsid w:val="25AD6D3E"/>
    <w:rsid w:val="25C1006B"/>
    <w:rsid w:val="25C22195"/>
    <w:rsid w:val="25C84CB1"/>
    <w:rsid w:val="25D2507E"/>
    <w:rsid w:val="25E03311"/>
    <w:rsid w:val="25E7739E"/>
    <w:rsid w:val="25EB4445"/>
    <w:rsid w:val="25F27BD4"/>
    <w:rsid w:val="26021F02"/>
    <w:rsid w:val="260929B3"/>
    <w:rsid w:val="261D4609"/>
    <w:rsid w:val="26233EDC"/>
    <w:rsid w:val="26235823"/>
    <w:rsid w:val="26307A04"/>
    <w:rsid w:val="264051E9"/>
    <w:rsid w:val="26450116"/>
    <w:rsid w:val="264D1A33"/>
    <w:rsid w:val="26512FF4"/>
    <w:rsid w:val="26710CE8"/>
    <w:rsid w:val="267F03F5"/>
    <w:rsid w:val="26896F5A"/>
    <w:rsid w:val="26897DB3"/>
    <w:rsid w:val="269A1D8A"/>
    <w:rsid w:val="26C039B6"/>
    <w:rsid w:val="26DB0AB2"/>
    <w:rsid w:val="26EC4808"/>
    <w:rsid w:val="26FD42C6"/>
    <w:rsid w:val="271B407C"/>
    <w:rsid w:val="272117B0"/>
    <w:rsid w:val="272E4CB3"/>
    <w:rsid w:val="2731199B"/>
    <w:rsid w:val="274C0B76"/>
    <w:rsid w:val="27520E68"/>
    <w:rsid w:val="276035E5"/>
    <w:rsid w:val="27652F0A"/>
    <w:rsid w:val="276A1229"/>
    <w:rsid w:val="27785213"/>
    <w:rsid w:val="277E07E7"/>
    <w:rsid w:val="27834A1F"/>
    <w:rsid w:val="27930309"/>
    <w:rsid w:val="27995217"/>
    <w:rsid w:val="27A47F2D"/>
    <w:rsid w:val="27C37352"/>
    <w:rsid w:val="27C657D2"/>
    <w:rsid w:val="27C769F6"/>
    <w:rsid w:val="27D16220"/>
    <w:rsid w:val="27D62A50"/>
    <w:rsid w:val="27F46DE4"/>
    <w:rsid w:val="27F57E3D"/>
    <w:rsid w:val="27F77AE8"/>
    <w:rsid w:val="27FD1365"/>
    <w:rsid w:val="28004487"/>
    <w:rsid w:val="280421A8"/>
    <w:rsid w:val="28124C82"/>
    <w:rsid w:val="281B2396"/>
    <w:rsid w:val="282F784B"/>
    <w:rsid w:val="28434726"/>
    <w:rsid w:val="284E399A"/>
    <w:rsid w:val="28604709"/>
    <w:rsid w:val="28622D81"/>
    <w:rsid w:val="286B4472"/>
    <w:rsid w:val="28897105"/>
    <w:rsid w:val="28943C39"/>
    <w:rsid w:val="289B4EE3"/>
    <w:rsid w:val="289E58FD"/>
    <w:rsid w:val="28A27B3B"/>
    <w:rsid w:val="28A65E73"/>
    <w:rsid w:val="28B759D7"/>
    <w:rsid w:val="28D949D4"/>
    <w:rsid w:val="28EB1B5B"/>
    <w:rsid w:val="28FD2DF3"/>
    <w:rsid w:val="290723ED"/>
    <w:rsid w:val="290F7B65"/>
    <w:rsid w:val="2912486F"/>
    <w:rsid w:val="29165014"/>
    <w:rsid w:val="29171E00"/>
    <w:rsid w:val="291A1B75"/>
    <w:rsid w:val="291C7A80"/>
    <w:rsid w:val="29201D73"/>
    <w:rsid w:val="292A0128"/>
    <w:rsid w:val="293D3B27"/>
    <w:rsid w:val="29476E5B"/>
    <w:rsid w:val="29502E1E"/>
    <w:rsid w:val="2951552F"/>
    <w:rsid w:val="29526CB6"/>
    <w:rsid w:val="29537975"/>
    <w:rsid w:val="295D46EB"/>
    <w:rsid w:val="296214FF"/>
    <w:rsid w:val="29731770"/>
    <w:rsid w:val="29785E86"/>
    <w:rsid w:val="297D7878"/>
    <w:rsid w:val="29861E98"/>
    <w:rsid w:val="29A14BBA"/>
    <w:rsid w:val="29A4131D"/>
    <w:rsid w:val="29A5292C"/>
    <w:rsid w:val="29A9603F"/>
    <w:rsid w:val="29AF3C86"/>
    <w:rsid w:val="29B73324"/>
    <w:rsid w:val="29BC55AF"/>
    <w:rsid w:val="29C46C65"/>
    <w:rsid w:val="29D64ABC"/>
    <w:rsid w:val="29DB4B56"/>
    <w:rsid w:val="29DF2DE7"/>
    <w:rsid w:val="29E71186"/>
    <w:rsid w:val="29E7311D"/>
    <w:rsid w:val="29F02A91"/>
    <w:rsid w:val="29F74DA5"/>
    <w:rsid w:val="29F91258"/>
    <w:rsid w:val="2A0466EA"/>
    <w:rsid w:val="2A0F6D32"/>
    <w:rsid w:val="2A1245B9"/>
    <w:rsid w:val="2A2E037D"/>
    <w:rsid w:val="2A2F2E9A"/>
    <w:rsid w:val="2A2F6A41"/>
    <w:rsid w:val="2A31511B"/>
    <w:rsid w:val="2A3F42CE"/>
    <w:rsid w:val="2A5F35BA"/>
    <w:rsid w:val="2A5F3924"/>
    <w:rsid w:val="2A61597B"/>
    <w:rsid w:val="2A652461"/>
    <w:rsid w:val="2A6C13EE"/>
    <w:rsid w:val="2A6F62CB"/>
    <w:rsid w:val="2A707DC4"/>
    <w:rsid w:val="2A75428C"/>
    <w:rsid w:val="2A77061F"/>
    <w:rsid w:val="2A850231"/>
    <w:rsid w:val="2A9A7DD4"/>
    <w:rsid w:val="2A9B5D26"/>
    <w:rsid w:val="2A9E50B9"/>
    <w:rsid w:val="2AA01AFC"/>
    <w:rsid w:val="2AB74F1D"/>
    <w:rsid w:val="2ABA0F75"/>
    <w:rsid w:val="2AC45DC5"/>
    <w:rsid w:val="2AC50D6F"/>
    <w:rsid w:val="2AC77829"/>
    <w:rsid w:val="2ACB2664"/>
    <w:rsid w:val="2ACB3B21"/>
    <w:rsid w:val="2ACF075A"/>
    <w:rsid w:val="2AD263AB"/>
    <w:rsid w:val="2AF34313"/>
    <w:rsid w:val="2AF92A59"/>
    <w:rsid w:val="2AFA52AB"/>
    <w:rsid w:val="2AFC1696"/>
    <w:rsid w:val="2B0032E6"/>
    <w:rsid w:val="2B023CA9"/>
    <w:rsid w:val="2B07370E"/>
    <w:rsid w:val="2B0A02CA"/>
    <w:rsid w:val="2B12533F"/>
    <w:rsid w:val="2B1B6EA4"/>
    <w:rsid w:val="2B2E34A8"/>
    <w:rsid w:val="2B36289B"/>
    <w:rsid w:val="2B422FAB"/>
    <w:rsid w:val="2B5D6E41"/>
    <w:rsid w:val="2B607BBB"/>
    <w:rsid w:val="2B67331F"/>
    <w:rsid w:val="2B754C5C"/>
    <w:rsid w:val="2B8209DE"/>
    <w:rsid w:val="2B910C42"/>
    <w:rsid w:val="2B967EBD"/>
    <w:rsid w:val="2B990F62"/>
    <w:rsid w:val="2BCE2263"/>
    <w:rsid w:val="2BE46B94"/>
    <w:rsid w:val="2BEB1353"/>
    <w:rsid w:val="2BF13993"/>
    <w:rsid w:val="2BF51D47"/>
    <w:rsid w:val="2BFC6AAD"/>
    <w:rsid w:val="2C095573"/>
    <w:rsid w:val="2C141090"/>
    <w:rsid w:val="2C1509AC"/>
    <w:rsid w:val="2C1864AF"/>
    <w:rsid w:val="2C186D76"/>
    <w:rsid w:val="2C195D11"/>
    <w:rsid w:val="2C233E75"/>
    <w:rsid w:val="2C2862CE"/>
    <w:rsid w:val="2C312F3F"/>
    <w:rsid w:val="2C3C1196"/>
    <w:rsid w:val="2C486FCC"/>
    <w:rsid w:val="2C4F796B"/>
    <w:rsid w:val="2C57446E"/>
    <w:rsid w:val="2C593543"/>
    <w:rsid w:val="2C6103B8"/>
    <w:rsid w:val="2C651656"/>
    <w:rsid w:val="2C6A3484"/>
    <w:rsid w:val="2C6C3826"/>
    <w:rsid w:val="2C6F7E13"/>
    <w:rsid w:val="2C723CB2"/>
    <w:rsid w:val="2C725955"/>
    <w:rsid w:val="2C7D386D"/>
    <w:rsid w:val="2C8B7E9E"/>
    <w:rsid w:val="2C8E15B2"/>
    <w:rsid w:val="2C9A2754"/>
    <w:rsid w:val="2C9D1644"/>
    <w:rsid w:val="2CAB39CB"/>
    <w:rsid w:val="2CBE2B31"/>
    <w:rsid w:val="2CD55D9D"/>
    <w:rsid w:val="2CDE2AF6"/>
    <w:rsid w:val="2CE56C21"/>
    <w:rsid w:val="2CF73532"/>
    <w:rsid w:val="2CF82C72"/>
    <w:rsid w:val="2D0014B0"/>
    <w:rsid w:val="2D005972"/>
    <w:rsid w:val="2D027D2B"/>
    <w:rsid w:val="2D0B2B8B"/>
    <w:rsid w:val="2D0F7028"/>
    <w:rsid w:val="2D116B42"/>
    <w:rsid w:val="2D212ED1"/>
    <w:rsid w:val="2D235B30"/>
    <w:rsid w:val="2D246F8F"/>
    <w:rsid w:val="2D2940F6"/>
    <w:rsid w:val="2D3964D9"/>
    <w:rsid w:val="2D4C29EA"/>
    <w:rsid w:val="2D567862"/>
    <w:rsid w:val="2D5E0E22"/>
    <w:rsid w:val="2D652A1B"/>
    <w:rsid w:val="2D6D174B"/>
    <w:rsid w:val="2D703C9E"/>
    <w:rsid w:val="2D7358A1"/>
    <w:rsid w:val="2D746295"/>
    <w:rsid w:val="2D815908"/>
    <w:rsid w:val="2D8B749C"/>
    <w:rsid w:val="2D8D30DA"/>
    <w:rsid w:val="2D9F47F6"/>
    <w:rsid w:val="2DB27C5C"/>
    <w:rsid w:val="2DE24431"/>
    <w:rsid w:val="2DEE0E6F"/>
    <w:rsid w:val="2DFB4AB8"/>
    <w:rsid w:val="2DFC4D2C"/>
    <w:rsid w:val="2E005871"/>
    <w:rsid w:val="2E010343"/>
    <w:rsid w:val="2E047FF2"/>
    <w:rsid w:val="2E067F7A"/>
    <w:rsid w:val="2E0A4D72"/>
    <w:rsid w:val="2E0E500A"/>
    <w:rsid w:val="2E1563A3"/>
    <w:rsid w:val="2E20775F"/>
    <w:rsid w:val="2E21007A"/>
    <w:rsid w:val="2E241823"/>
    <w:rsid w:val="2E272C30"/>
    <w:rsid w:val="2E2934E6"/>
    <w:rsid w:val="2E2B10FA"/>
    <w:rsid w:val="2E2E1972"/>
    <w:rsid w:val="2E3623A7"/>
    <w:rsid w:val="2E593A9E"/>
    <w:rsid w:val="2E5D43D6"/>
    <w:rsid w:val="2E644C2A"/>
    <w:rsid w:val="2E646D00"/>
    <w:rsid w:val="2E701EAB"/>
    <w:rsid w:val="2E7624C6"/>
    <w:rsid w:val="2E797BD3"/>
    <w:rsid w:val="2E8D6535"/>
    <w:rsid w:val="2E927696"/>
    <w:rsid w:val="2E98795E"/>
    <w:rsid w:val="2EA067FD"/>
    <w:rsid w:val="2EA162D1"/>
    <w:rsid w:val="2EA3443A"/>
    <w:rsid w:val="2EA939D2"/>
    <w:rsid w:val="2EB02B78"/>
    <w:rsid w:val="2EBE04F6"/>
    <w:rsid w:val="2EC2730E"/>
    <w:rsid w:val="2EC644FB"/>
    <w:rsid w:val="2EC67093"/>
    <w:rsid w:val="2EC86AEE"/>
    <w:rsid w:val="2ECE7227"/>
    <w:rsid w:val="2ED53B5F"/>
    <w:rsid w:val="2ED5709E"/>
    <w:rsid w:val="2EEB110D"/>
    <w:rsid w:val="2EFC280E"/>
    <w:rsid w:val="2F080F41"/>
    <w:rsid w:val="2F0A5C04"/>
    <w:rsid w:val="2F0C2EA5"/>
    <w:rsid w:val="2F101507"/>
    <w:rsid w:val="2F2B4824"/>
    <w:rsid w:val="2F2E0D8A"/>
    <w:rsid w:val="2F4174F0"/>
    <w:rsid w:val="2F486510"/>
    <w:rsid w:val="2F686996"/>
    <w:rsid w:val="2F796077"/>
    <w:rsid w:val="2F8A5B26"/>
    <w:rsid w:val="2F8E3EE3"/>
    <w:rsid w:val="2F901C22"/>
    <w:rsid w:val="2FA4542C"/>
    <w:rsid w:val="2FAC2975"/>
    <w:rsid w:val="2FB11BE0"/>
    <w:rsid w:val="2FB330DD"/>
    <w:rsid w:val="2FB70BD4"/>
    <w:rsid w:val="2FBD331C"/>
    <w:rsid w:val="2FC8768C"/>
    <w:rsid w:val="2FD12748"/>
    <w:rsid w:val="2FD30970"/>
    <w:rsid w:val="2FDA41AA"/>
    <w:rsid w:val="2FDF69C1"/>
    <w:rsid w:val="2FE4637B"/>
    <w:rsid w:val="2FE670C0"/>
    <w:rsid w:val="2FE760A1"/>
    <w:rsid w:val="2FF73B0C"/>
    <w:rsid w:val="300C3372"/>
    <w:rsid w:val="301133B8"/>
    <w:rsid w:val="301828ED"/>
    <w:rsid w:val="301D2329"/>
    <w:rsid w:val="303A1D50"/>
    <w:rsid w:val="304A72D6"/>
    <w:rsid w:val="304C5151"/>
    <w:rsid w:val="307D1030"/>
    <w:rsid w:val="307E4735"/>
    <w:rsid w:val="308A5F5D"/>
    <w:rsid w:val="308A797B"/>
    <w:rsid w:val="30943EB2"/>
    <w:rsid w:val="30971D6F"/>
    <w:rsid w:val="30A85C9F"/>
    <w:rsid w:val="30AD4DCB"/>
    <w:rsid w:val="30B4765E"/>
    <w:rsid w:val="30B667BB"/>
    <w:rsid w:val="30B8456C"/>
    <w:rsid w:val="30C73496"/>
    <w:rsid w:val="30CF10F9"/>
    <w:rsid w:val="30D8213D"/>
    <w:rsid w:val="30E33718"/>
    <w:rsid w:val="30E949D6"/>
    <w:rsid w:val="30ED24A7"/>
    <w:rsid w:val="30EE482F"/>
    <w:rsid w:val="30F57E0B"/>
    <w:rsid w:val="30FA61EE"/>
    <w:rsid w:val="30FA6ECA"/>
    <w:rsid w:val="30FB394C"/>
    <w:rsid w:val="30FC2B6E"/>
    <w:rsid w:val="30FE300E"/>
    <w:rsid w:val="3102343B"/>
    <w:rsid w:val="310E2475"/>
    <w:rsid w:val="31137660"/>
    <w:rsid w:val="311D67AA"/>
    <w:rsid w:val="312214E3"/>
    <w:rsid w:val="31380577"/>
    <w:rsid w:val="31483B8D"/>
    <w:rsid w:val="314D2662"/>
    <w:rsid w:val="316601C0"/>
    <w:rsid w:val="316A48EC"/>
    <w:rsid w:val="316B7AC7"/>
    <w:rsid w:val="316F7978"/>
    <w:rsid w:val="317F3FF3"/>
    <w:rsid w:val="31971D9D"/>
    <w:rsid w:val="31995BB7"/>
    <w:rsid w:val="31A321C0"/>
    <w:rsid w:val="31A97170"/>
    <w:rsid w:val="31B45116"/>
    <w:rsid w:val="31BB6E48"/>
    <w:rsid w:val="31CF75BF"/>
    <w:rsid w:val="31D77292"/>
    <w:rsid w:val="31DF0B9E"/>
    <w:rsid w:val="31EB2C2F"/>
    <w:rsid w:val="31FD13E5"/>
    <w:rsid w:val="320574C1"/>
    <w:rsid w:val="320757B4"/>
    <w:rsid w:val="3208052C"/>
    <w:rsid w:val="320A491D"/>
    <w:rsid w:val="32160A33"/>
    <w:rsid w:val="32190AA3"/>
    <w:rsid w:val="322851BD"/>
    <w:rsid w:val="322E344E"/>
    <w:rsid w:val="324147EC"/>
    <w:rsid w:val="32421D13"/>
    <w:rsid w:val="32545121"/>
    <w:rsid w:val="325B66DD"/>
    <w:rsid w:val="325C50C2"/>
    <w:rsid w:val="325F3ECE"/>
    <w:rsid w:val="32692ACD"/>
    <w:rsid w:val="326A2142"/>
    <w:rsid w:val="3275295D"/>
    <w:rsid w:val="32800452"/>
    <w:rsid w:val="32840689"/>
    <w:rsid w:val="328B663C"/>
    <w:rsid w:val="32905062"/>
    <w:rsid w:val="329A765E"/>
    <w:rsid w:val="329D5CE5"/>
    <w:rsid w:val="329E743A"/>
    <w:rsid w:val="32A84ADE"/>
    <w:rsid w:val="32A91F31"/>
    <w:rsid w:val="32B729A2"/>
    <w:rsid w:val="32C96654"/>
    <w:rsid w:val="32D471A3"/>
    <w:rsid w:val="32E068A4"/>
    <w:rsid w:val="32EB498D"/>
    <w:rsid w:val="32ED3E20"/>
    <w:rsid w:val="32F82224"/>
    <w:rsid w:val="33037D24"/>
    <w:rsid w:val="33077A6B"/>
    <w:rsid w:val="33096A98"/>
    <w:rsid w:val="332C7BA2"/>
    <w:rsid w:val="33311554"/>
    <w:rsid w:val="3339040A"/>
    <w:rsid w:val="33442B5F"/>
    <w:rsid w:val="3345160D"/>
    <w:rsid w:val="334B751B"/>
    <w:rsid w:val="33536293"/>
    <w:rsid w:val="335A369A"/>
    <w:rsid w:val="335A7DFF"/>
    <w:rsid w:val="3363221D"/>
    <w:rsid w:val="33637EDA"/>
    <w:rsid w:val="3379004E"/>
    <w:rsid w:val="337E30A1"/>
    <w:rsid w:val="338818B8"/>
    <w:rsid w:val="338A5DAD"/>
    <w:rsid w:val="33933337"/>
    <w:rsid w:val="33946513"/>
    <w:rsid w:val="33A1247D"/>
    <w:rsid w:val="33A83DFF"/>
    <w:rsid w:val="33AC1BF8"/>
    <w:rsid w:val="33B34315"/>
    <w:rsid w:val="33BD725C"/>
    <w:rsid w:val="33C058D8"/>
    <w:rsid w:val="33C22976"/>
    <w:rsid w:val="33C33949"/>
    <w:rsid w:val="33C95B12"/>
    <w:rsid w:val="33D64ABC"/>
    <w:rsid w:val="33DA0DEF"/>
    <w:rsid w:val="33E5518B"/>
    <w:rsid w:val="33F20FBF"/>
    <w:rsid w:val="33F35985"/>
    <w:rsid w:val="33F50981"/>
    <w:rsid w:val="33FA15F4"/>
    <w:rsid w:val="340A179E"/>
    <w:rsid w:val="340D342B"/>
    <w:rsid w:val="34125C18"/>
    <w:rsid w:val="3427225F"/>
    <w:rsid w:val="34423436"/>
    <w:rsid w:val="345A0EA7"/>
    <w:rsid w:val="345E5F31"/>
    <w:rsid w:val="34730E54"/>
    <w:rsid w:val="34776148"/>
    <w:rsid w:val="348B4258"/>
    <w:rsid w:val="348B64AD"/>
    <w:rsid w:val="34922008"/>
    <w:rsid w:val="3496111A"/>
    <w:rsid w:val="34A034F2"/>
    <w:rsid w:val="34A66245"/>
    <w:rsid w:val="34A91883"/>
    <w:rsid w:val="34B50A27"/>
    <w:rsid w:val="34E428AA"/>
    <w:rsid w:val="34F616C2"/>
    <w:rsid w:val="35001C63"/>
    <w:rsid w:val="35145C0C"/>
    <w:rsid w:val="351B23AB"/>
    <w:rsid w:val="351B7855"/>
    <w:rsid w:val="351C33C2"/>
    <w:rsid w:val="351F525E"/>
    <w:rsid w:val="352612A5"/>
    <w:rsid w:val="35332F3C"/>
    <w:rsid w:val="35376FC0"/>
    <w:rsid w:val="353B1B19"/>
    <w:rsid w:val="353E07F5"/>
    <w:rsid w:val="354436E7"/>
    <w:rsid w:val="35594B74"/>
    <w:rsid w:val="355B76D8"/>
    <w:rsid w:val="355D6FBC"/>
    <w:rsid w:val="3573120F"/>
    <w:rsid w:val="35766A84"/>
    <w:rsid w:val="35920EE5"/>
    <w:rsid w:val="35963A6E"/>
    <w:rsid w:val="359763D0"/>
    <w:rsid w:val="35A621F9"/>
    <w:rsid w:val="35A71E22"/>
    <w:rsid w:val="35AC7853"/>
    <w:rsid w:val="35C7009D"/>
    <w:rsid w:val="35CB3E6B"/>
    <w:rsid w:val="35DA4ADD"/>
    <w:rsid w:val="35F7629A"/>
    <w:rsid w:val="35F91CD1"/>
    <w:rsid w:val="35FF3141"/>
    <w:rsid w:val="360555B5"/>
    <w:rsid w:val="3605584B"/>
    <w:rsid w:val="360A2E12"/>
    <w:rsid w:val="361F2CFE"/>
    <w:rsid w:val="362225AA"/>
    <w:rsid w:val="36271D5A"/>
    <w:rsid w:val="362827DF"/>
    <w:rsid w:val="362B1F21"/>
    <w:rsid w:val="362D16D5"/>
    <w:rsid w:val="3633294C"/>
    <w:rsid w:val="363E253B"/>
    <w:rsid w:val="36426903"/>
    <w:rsid w:val="36652954"/>
    <w:rsid w:val="367243CB"/>
    <w:rsid w:val="368123BD"/>
    <w:rsid w:val="36820902"/>
    <w:rsid w:val="368212F7"/>
    <w:rsid w:val="36996D78"/>
    <w:rsid w:val="36A70CAD"/>
    <w:rsid w:val="36BA358C"/>
    <w:rsid w:val="36BA68A3"/>
    <w:rsid w:val="36BB45EA"/>
    <w:rsid w:val="36C63974"/>
    <w:rsid w:val="36D212E5"/>
    <w:rsid w:val="36DB2793"/>
    <w:rsid w:val="36E17D26"/>
    <w:rsid w:val="36E36420"/>
    <w:rsid w:val="36EA47FC"/>
    <w:rsid w:val="36EF4212"/>
    <w:rsid w:val="36F140D6"/>
    <w:rsid w:val="36F71D7C"/>
    <w:rsid w:val="370B3C6B"/>
    <w:rsid w:val="37110689"/>
    <w:rsid w:val="372C7CE4"/>
    <w:rsid w:val="37314649"/>
    <w:rsid w:val="37370C22"/>
    <w:rsid w:val="374A36D1"/>
    <w:rsid w:val="376056E9"/>
    <w:rsid w:val="3778231F"/>
    <w:rsid w:val="37785F5C"/>
    <w:rsid w:val="37852A30"/>
    <w:rsid w:val="378752B2"/>
    <w:rsid w:val="37880EF6"/>
    <w:rsid w:val="378F6CB6"/>
    <w:rsid w:val="37A00482"/>
    <w:rsid w:val="37A110A1"/>
    <w:rsid w:val="37A3501E"/>
    <w:rsid w:val="37A4521D"/>
    <w:rsid w:val="37A52728"/>
    <w:rsid w:val="37B16457"/>
    <w:rsid w:val="37B428AF"/>
    <w:rsid w:val="37B73B9E"/>
    <w:rsid w:val="37C91233"/>
    <w:rsid w:val="37D977E9"/>
    <w:rsid w:val="37F2691F"/>
    <w:rsid w:val="37F827E7"/>
    <w:rsid w:val="37F82F85"/>
    <w:rsid w:val="380D0D4B"/>
    <w:rsid w:val="381258D0"/>
    <w:rsid w:val="38153055"/>
    <w:rsid w:val="382E7411"/>
    <w:rsid w:val="383130BB"/>
    <w:rsid w:val="383815A1"/>
    <w:rsid w:val="38573139"/>
    <w:rsid w:val="385B1629"/>
    <w:rsid w:val="385B378C"/>
    <w:rsid w:val="385E1595"/>
    <w:rsid w:val="387C6AF1"/>
    <w:rsid w:val="38861D37"/>
    <w:rsid w:val="3892439E"/>
    <w:rsid w:val="38A47E29"/>
    <w:rsid w:val="38AE6F57"/>
    <w:rsid w:val="38B608DC"/>
    <w:rsid w:val="38BB022D"/>
    <w:rsid w:val="38BE0D57"/>
    <w:rsid w:val="38C03DDF"/>
    <w:rsid w:val="38D86DDD"/>
    <w:rsid w:val="38DE0236"/>
    <w:rsid w:val="38E34656"/>
    <w:rsid w:val="38E66584"/>
    <w:rsid w:val="39030FA3"/>
    <w:rsid w:val="39096D50"/>
    <w:rsid w:val="390C4CA0"/>
    <w:rsid w:val="390F3492"/>
    <w:rsid w:val="392C2E2F"/>
    <w:rsid w:val="39330F57"/>
    <w:rsid w:val="393C7D76"/>
    <w:rsid w:val="394C022F"/>
    <w:rsid w:val="39561AEE"/>
    <w:rsid w:val="39596DCE"/>
    <w:rsid w:val="395F6381"/>
    <w:rsid w:val="39606EAB"/>
    <w:rsid w:val="396E3055"/>
    <w:rsid w:val="397B2E60"/>
    <w:rsid w:val="398448EF"/>
    <w:rsid w:val="399522F6"/>
    <w:rsid w:val="39955494"/>
    <w:rsid w:val="399D1B85"/>
    <w:rsid w:val="399F7B47"/>
    <w:rsid w:val="39A51CED"/>
    <w:rsid w:val="39AE1B2D"/>
    <w:rsid w:val="39B346A1"/>
    <w:rsid w:val="39B4058C"/>
    <w:rsid w:val="39C56F87"/>
    <w:rsid w:val="39D14B0D"/>
    <w:rsid w:val="39D2322A"/>
    <w:rsid w:val="39D7332B"/>
    <w:rsid w:val="39D82A59"/>
    <w:rsid w:val="39E9326D"/>
    <w:rsid w:val="39EA25D9"/>
    <w:rsid w:val="39F12261"/>
    <w:rsid w:val="39F27950"/>
    <w:rsid w:val="39F32C28"/>
    <w:rsid w:val="3A066EB4"/>
    <w:rsid w:val="3A094E29"/>
    <w:rsid w:val="3A0E6468"/>
    <w:rsid w:val="3A387BB8"/>
    <w:rsid w:val="3A3B526A"/>
    <w:rsid w:val="3A3E7A83"/>
    <w:rsid w:val="3A461889"/>
    <w:rsid w:val="3A4F559C"/>
    <w:rsid w:val="3A500125"/>
    <w:rsid w:val="3A51426A"/>
    <w:rsid w:val="3A540249"/>
    <w:rsid w:val="3A581445"/>
    <w:rsid w:val="3A6114D2"/>
    <w:rsid w:val="3A675E6B"/>
    <w:rsid w:val="3A6D6B40"/>
    <w:rsid w:val="3A700C72"/>
    <w:rsid w:val="3A704814"/>
    <w:rsid w:val="3A741BB8"/>
    <w:rsid w:val="3A7A6E83"/>
    <w:rsid w:val="3A7C6A4F"/>
    <w:rsid w:val="3A824D57"/>
    <w:rsid w:val="3A850997"/>
    <w:rsid w:val="3A8B7139"/>
    <w:rsid w:val="3A8C23D8"/>
    <w:rsid w:val="3A8E001B"/>
    <w:rsid w:val="3A947CD7"/>
    <w:rsid w:val="3A950D1C"/>
    <w:rsid w:val="3A963E42"/>
    <w:rsid w:val="3A9D06FD"/>
    <w:rsid w:val="3AA2276A"/>
    <w:rsid w:val="3ABA2D65"/>
    <w:rsid w:val="3ABA674A"/>
    <w:rsid w:val="3ABF2920"/>
    <w:rsid w:val="3ACC7CDD"/>
    <w:rsid w:val="3ADB4207"/>
    <w:rsid w:val="3AED22D6"/>
    <w:rsid w:val="3AF779AD"/>
    <w:rsid w:val="3AFC3FBD"/>
    <w:rsid w:val="3B054314"/>
    <w:rsid w:val="3B06454D"/>
    <w:rsid w:val="3B0A0A82"/>
    <w:rsid w:val="3B0A2CBD"/>
    <w:rsid w:val="3B20616F"/>
    <w:rsid w:val="3B236D02"/>
    <w:rsid w:val="3B3A01BF"/>
    <w:rsid w:val="3B3B3B35"/>
    <w:rsid w:val="3B4D10A8"/>
    <w:rsid w:val="3B4D18B9"/>
    <w:rsid w:val="3B4D4CCB"/>
    <w:rsid w:val="3B516536"/>
    <w:rsid w:val="3B54121C"/>
    <w:rsid w:val="3B66672B"/>
    <w:rsid w:val="3B740A95"/>
    <w:rsid w:val="3B7C6EB5"/>
    <w:rsid w:val="3B8663F4"/>
    <w:rsid w:val="3B8E3DF5"/>
    <w:rsid w:val="3BAC1FFB"/>
    <w:rsid w:val="3BB132FB"/>
    <w:rsid w:val="3BB9180A"/>
    <w:rsid w:val="3BBD67A3"/>
    <w:rsid w:val="3BCC3C12"/>
    <w:rsid w:val="3BDE1D0F"/>
    <w:rsid w:val="3BE176EB"/>
    <w:rsid w:val="3BF25682"/>
    <w:rsid w:val="3BFA2D9E"/>
    <w:rsid w:val="3BFC2AB1"/>
    <w:rsid w:val="3C0B07A7"/>
    <w:rsid w:val="3C0B6357"/>
    <w:rsid w:val="3C0C1C7A"/>
    <w:rsid w:val="3C143550"/>
    <w:rsid w:val="3C1D100F"/>
    <w:rsid w:val="3C2E30BC"/>
    <w:rsid w:val="3C371B83"/>
    <w:rsid w:val="3C5D5E46"/>
    <w:rsid w:val="3C5E6796"/>
    <w:rsid w:val="3C6166C0"/>
    <w:rsid w:val="3C7524EC"/>
    <w:rsid w:val="3C782EED"/>
    <w:rsid w:val="3C805268"/>
    <w:rsid w:val="3C8C5C90"/>
    <w:rsid w:val="3C977434"/>
    <w:rsid w:val="3C98543B"/>
    <w:rsid w:val="3C9A3FDC"/>
    <w:rsid w:val="3CAE083D"/>
    <w:rsid w:val="3CC60CD5"/>
    <w:rsid w:val="3CC67348"/>
    <w:rsid w:val="3CD00F50"/>
    <w:rsid w:val="3CF63EFF"/>
    <w:rsid w:val="3CFA71AB"/>
    <w:rsid w:val="3CFE49F8"/>
    <w:rsid w:val="3D03632E"/>
    <w:rsid w:val="3D082EDF"/>
    <w:rsid w:val="3D0E2E63"/>
    <w:rsid w:val="3D3561DD"/>
    <w:rsid w:val="3D4D7A91"/>
    <w:rsid w:val="3D4F7B05"/>
    <w:rsid w:val="3D54300B"/>
    <w:rsid w:val="3D6A5304"/>
    <w:rsid w:val="3D73441B"/>
    <w:rsid w:val="3D8222C4"/>
    <w:rsid w:val="3D8D6F46"/>
    <w:rsid w:val="3D8F0147"/>
    <w:rsid w:val="3D930974"/>
    <w:rsid w:val="3D997BC8"/>
    <w:rsid w:val="3D9A7DE3"/>
    <w:rsid w:val="3DA561FC"/>
    <w:rsid w:val="3DA73E0D"/>
    <w:rsid w:val="3DAD404A"/>
    <w:rsid w:val="3DAE5D24"/>
    <w:rsid w:val="3DB0038E"/>
    <w:rsid w:val="3DB76FA2"/>
    <w:rsid w:val="3DC45E51"/>
    <w:rsid w:val="3DCB6C21"/>
    <w:rsid w:val="3DE63E91"/>
    <w:rsid w:val="3DEA1AD9"/>
    <w:rsid w:val="3DF25AC9"/>
    <w:rsid w:val="3DFE12E5"/>
    <w:rsid w:val="3E0C4B3C"/>
    <w:rsid w:val="3E156ABF"/>
    <w:rsid w:val="3E1F0B6E"/>
    <w:rsid w:val="3E2975DF"/>
    <w:rsid w:val="3E2C5A88"/>
    <w:rsid w:val="3E461BFC"/>
    <w:rsid w:val="3E53594E"/>
    <w:rsid w:val="3E587852"/>
    <w:rsid w:val="3E734A16"/>
    <w:rsid w:val="3E782131"/>
    <w:rsid w:val="3E8B35FF"/>
    <w:rsid w:val="3E8C7809"/>
    <w:rsid w:val="3E8F301C"/>
    <w:rsid w:val="3E957BE5"/>
    <w:rsid w:val="3EA766D7"/>
    <w:rsid w:val="3EAD116B"/>
    <w:rsid w:val="3EAF459A"/>
    <w:rsid w:val="3EB74BB5"/>
    <w:rsid w:val="3EBC2184"/>
    <w:rsid w:val="3EBF438A"/>
    <w:rsid w:val="3EC15189"/>
    <w:rsid w:val="3ED217B1"/>
    <w:rsid w:val="3ED44173"/>
    <w:rsid w:val="3EE2025A"/>
    <w:rsid w:val="3EE21D7A"/>
    <w:rsid w:val="3EF33A9A"/>
    <w:rsid w:val="3EF84CC5"/>
    <w:rsid w:val="3F172843"/>
    <w:rsid w:val="3F277F84"/>
    <w:rsid w:val="3F2E3D1E"/>
    <w:rsid w:val="3F324878"/>
    <w:rsid w:val="3F357622"/>
    <w:rsid w:val="3F4572FF"/>
    <w:rsid w:val="3F49047B"/>
    <w:rsid w:val="3F49690F"/>
    <w:rsid w:val="3F4B29CD"/>
    <w:rsid w:val="3F4C4DF4"/>
    <w:rsid w:val="3F500A65"/>
    <w:rsid w:val="3F547DE0"/>
    <w:rsid w:val="3F583DA4"/>
    <w:rsid w:val="3F5A14E5"/>
    <w:rsid w:val="3F6936B0"/>
    <w:rsid w:val="3F717440"/>
    <w:rsid w:val="3F735C05"/>
    <w:rsid w:val="3F773094"/>
    <w:rsid w:val="3F816E65"/>
    <w:rsid w:val="3F824F5D"/>
    <w:rsid w:val="3F8604AC"/>
    <w:rsid w:val="3F8E14A7"/>
    <w:rsid w:val="3F9215DF"/>
    <w:rsid w:val="3F9A3889"/>
    <w:rsid w:val="3F9B1329"/>
    <w:rsid w:val="3FA6268D"/>
    <w:rsid w:val="3FAE4B65"/>
    <w:rsid w:val="3FB02F4C"/>
    <w:rsid w:val="3FC05EDC"/>
    <w:rsid w:val="3FCE254D"/>
    <w:rsid w:val="3FD378FD"/>
    <w:rsid w:val="3FE553EE"/>
    <w:rsid w:val="3FE703C1"/>
    <w:rsid w:val="3FF27D17"/>
    <w:rsid w:val="3FFC55A5"/>
    <w:rsid w:val="40010611"/>
    <w:rsid w:val="40114771"/>
    <w:rsid w:val="40242D1A"/>
    <w:rsid w:val="402E650B"/>
    <w:rsid w:val="40351B99"/>
    <w:rsid w:val="40356427"/>
    <w:rsid w:val="40361EE3"/>
    <w:rsid w:val="40365D39"/>
    <w:rsid w:val="40377D71"/>
    <w:rsid w:val="403B29C0"/>
    <w:rsid w:val="404A535E"/>
    <w:rsid w:val="404E5FCE"/>
    <w:rsid w:val="405125C0"/>
    <w:rsid w:val="4057639D"/>
    <w:rsid w:val="40697B86"/>
    <w:rsid w:val="40835196"/>
    <w:rsid w:val="408B433C"/>
    <w:rsid w:val="408C182B"/>
    <w:rsid w:val="40940284"/>
    <w:rsid w:val="40956C3C"/>
    <w:rsid w:val="409A3D36"/>
    <w:rsid w:val="409C0F8C"/>
    <w:rsid w:val="409D0B02"/>
    <w:rsid w:val="409F4105"/>
    <w:rsid w:val="40A725E1"/>
    <w:rsid w:val="40A95132"/>
    <w:rsid w:val="40C22A9D"/>
    <w:rsid w:val="40C836E5"/>
    <w:rsid w:val="40EB78AF"/>
    <w:rsid w:val="40EE56FC"/>
    <w:rsid w:val="40F33A90"/>
    <w:rsid w:val="40F5691F"/>
    <w:rsid w:val="40FD6B85"/>
    <w:rsid w:val="41094720"/>
    <w:rsid w:val="41183A32"/>
    <w:rsid w:val="41226AC7"/>
    <w:rsid w:val="41395CDC"/>
    <w:rsid w:val="413F3D3C"/>
    <w:rsid w:val="414A2B2C"/>
    <w:rsid w:val="414F084D"/>
    <w:rsid w:val="415650C4"/>
    <w:rsid w:val="4157487D"/>
    <w:rsid w:val="41596804"/>
    <w:rsid w:val="416334E1"/>
    <w:rsid w:val="41641A99"/>
    <w:rsid w:val="416500F7"/>
    <w:rsid w:val="416F68DC"/>
    <w:rsid w:val="417C1F63"/>
    <w:rsid w:val="41A13682"/>
    <w:rsid w:val="41C01A1C"/>
    <w:rsid w:val="41D35E10"/>
    <w:rsid w:val="41D60CB4"/>
    <w:rsid w:val="41DB2A61"/>
    <w:rsid w:val="41EB1B1D"/>
    <w:rsid w:val="42023ED6"/>
    <w:rsid w:val="421015D0"/>
    <w:rsid w:val="4214103D"/>
    <w:rsid w:val="421F3E1C"/>
    <w:rsid w:val="423E3B31"/>
    <w:rsid w:val="424A0945"/>
    <w:rsid w:val="4251007E"/>
    <w:rsid w:val="425A3F23"/>
    <w:rsid w:val="425D1D0D"/>
    <w:rsid w:val="426248D9"/>
    <w:rsid w:val="427053F0"/>
    <w:rsid w:val="4278754D"/>
    <w:rsid w:val="427A51DD"/>
    <w:rsid w:val="4280744C"/>
    <w:rsid w:val="428572CF"/>
    <w:rsid w:val="42862F6A"/>
    <w:rsid w:val="42AF3E10"/>
    <w:rsid w:val="42BB7F47"/>
    <w:rsid w:val="42C5072E"/>
    <w:rsid w:val="42C83889"/>
    <w:rsid w:val="42D37716"/>
    <w:rsid w:val="42D54D37"/>
    <w:rsid w:val="42D87D4E"/>
    <w:rsid w:val="42D92A2D"/>
    <w:rsid w:val="42E576E1"/>
    <w:rsid w:val="42E75546"/>
    <w:rsid w:val="42E958A5"/>
    <w:rsid w:val="42ED2FE9"/>
    <w:rsid w:val="42EE4F1B"/>
    <w:rsid w:val="42EE50D1"/>
    <w:rsid w:val="42EE6843"/>
    <w:rsid w:val="42F33E4C"/>
    <w:rsid w:val="42F42F14"/>
    <w:rsid w:val="42F546E2"/>
    <w:rsid w:val="43056DA6"/>
    <w:rsid w:val="433762E0"/>
    <w:rsid w:val="4338245A"/>
    <w:rsid w:val="433A54D5"/>
    <w:rsid w:val="433C1EEB"/>
    <w:rsid w:val="433D0D2B"/>
    <w:rsid w:val="4346407C"/>
    <w:rsid w:val="434731EA"/>
    <w:rsid w:val="434E5920"/>
    <w:rsid w:val="43656E85"/>
    <w:rsid w:val="436908D8"/>
    <w:rsid w:val="436F6336"/>
    <w:rsid w:val="43701BDE"/>
    <w:rsid w:val="438526E0"/>
    <w:rsid w:val="4388537D"/>
    <w:rsid w:val="4389695C"/>
    <w:rsid w:val="43BF5146"/>
    <w:rsid w:val="43BF7221"/>
    <w:rsid w:val="43C3122D"/>
    <w:rsid w:val="43C666DD"/>
    <w:rsid w:val="43DA23CF"/>
    <w:rsid w:val="43E6289A"/>
    <w:rsid w:val="43EC10EA"/>
    <w:rsid w:val="43F12542"/>
    <w:rsid w:val="43FB38E0"/>
    <w:rsid w:val="43FD6436"/>
    <w:rsid w:val="43FE0303"/>
    <w:rsid w:val="440118E6"/>
    <w:rsid w:val="44057616"/>
    <w:rsid w:val="44112320"/>
    <w:rsid w:val="441263CE"/>
    <w:rsid w:val="441D021C"/>
    <w:rsid w:val="44265486"/>
    <w:rsid w:val="442F7CF2"/>
    <w:rsid w:val="443F7A90"/>
    <w:rsid w:val="444965CB"/>
    <w:rsid w:val="445115A6"/>
    <w:rsid w:val="4460260E"/>
    <w:rsid w:val="446979B8"/>
    <w:rsid w:val="44767BF0"/>
    <w:rsid w:val="447B1075"/>
    <w:rsid w:val="447D138B"/>
    <w:rsid w:val="448218BF"/>
    <w:rsid w:val="44890886"/>
    <w:rsid w:val="448F0718"/>
    <w:rsid w:val="44944D97"/>
    <w:rsid w:val="449F6876"/>
    <w:rsid w:val="44A439FD"/>
    <w:rsid w:val="44A65701"/>
    <w:rsid w:val="44BA3ABA"/>
    <w:rsid w:val="44BD254C"/>
    <w:rsid w:val="44C94BE6"/>
    <w:rsid w:val="44CA43F6"/>
    <w:rsid w:val="44CC32F9"/>
    <w:rsid w:val="44F1479E"/>
    <w:rsid w:val="45036B39"/>
    <w:rsid w:val="452B7DC1"/>
    <w:rsid w:val="452F34C0"/>
    <w:rsid w:val="453404CF"/>
    <w:rsid w:val="45344FEF"/>
    <w:rsid w:val="45383889"/>
    <w:rsid w:val="45404891"/>
    <w:rsid w:val="45407349"/>
    <w:rsid w:val="454607EE"/>
    <w:rsid w:val="454C7C49"/>
    <w:rsid w:val="455A707D"/>
    <w:rsid w:val="456964E2"/>
    <w:rsid w:val="457022D9"/>
    <w:rsid w:val="4574703B"/>
    <w:rsid w:val="45786F1B"/>
    <w:rsid w:val="4583410C"/>
    <w:rsid w:val="458E269D"/>
    <w:rsid w:val="459008BC"/>
    <w:rsid w:val="45903650"/>
    <w:rsid w:val="459A0413"/>
    <w:rsid w:val="459A7283"/>
    <w:rsid w:val="45A474FD"/>
    <w:rsid w:val="45B10941"/>
    <w:rsid w:val="45BA3139"/>
    <w:rsid w:val="45CB0D0F"/>
    <w:rsid w:val="45CF5499"/>
    <w:rsid w:val="45D16BCE"/>
    <w:rsid w:val="45D4473F"/>
    <w:rsid w:val="45DF2EF9"/>
    <w:rsid w:val="45E67E61"/>
    <w:rsid w:val="45F41562"/>
    <w:rsid w:val="45F656CC"/>
    <w:rsid w:val="45FA0304"/>
    <w:rsid w:val="46051B4F"/>
    <w:rsid w:val="460927E6"/>
    <w:rsid w:val="460930B5"/>
    <w:rsid w:val="46111940"/>
    <w:rsid w:val="461314FD"/>
    <w:rsid w:val="4625691E"/>
    <w:rsid w:val="46481E9E"/>
    <w:rsid w:val="464B4741"/>
    <w:rsid w:val="46517C73"/>
    <w:rsid w:val="4666417F"/>
    <w:rsid w:val="467240D8"/>
    <w:rsid w:val="46783549"/>
    <w:rsid w:val="467A1F07"/>
    <w:rsid w:val="468F3B85"/>
    <w:rsid w:val="46B201E0"/>
    <w:rsid w:val="46B914AE"/>
    <w:rsid w:val="46C103C7"/>
    <w:rsid w:val="46C2064E"/>
    <w:rsid w:val="46DC704E"/>
    <w:rsid w:val="46DE62B6"/>
    <w:rsid w:val="46E40DCA"/>
    <w:rsid w:val="46E93117"/>
    <w:rsid w:val="46EB6860"/>
    <w:rsid w:val="46F00B40"/>
    <w:rsid w:val="46FF432E"/>
    <w:rsid w:val="47080278"/>
    <w:rsid w:val="470D284B"/>
    <w:rsid w:val="471541F7"/>
    <w:rsid w:val="471A6994"/>
    <w:rsid w:val="471E284F"/>
    <w:rsid w:val="473A16B0"/>
    <w:rsid w:val="47415B8C"/>
    <w:rsid w:val="47466BEC"/>
    <w:rsid w:val="474B40A4"/>
    <w:rsid w:val="474B6539"/>
    <w:rsid w:val="47526A08"/>
    <w:rsid w:val="47583488"/>
    <w:rsid w:val="475A72AE"/>
    <w:rsid w:val="475D124F"/>
    <w:rsid w:val="475F67E1"/>
    <w:rsid w:val="47753C8C"/>
    <w:rsid w:val="4786726E"/>
    <w:rsid w:val="479A26BF"/>
    <w:rsid w:val="479E36A2"/>
    <w:rsid w:val="47A861A7"/>
    <w:rsid w:val="47AC4E1E"/>
    <w:rsid w:val="47B60149"/>
    <w:rsid w:val="47BB68BE"/>
    <w:rsid w:val="47CD39F7"/>
    <w:rsid w:val="47D00095"/>
    <w:rsid w:val="47F01D40"/>
    <w:rsid w:val="47FD57CA"/>
    <w:rsid w:val="480D7A44"/>
    <w:rsid w:val="480E1FDD"/>
    <w:rsid w:val="480E4C89"/>
    <w:rsid w:val="48245BF7"/>
    <w:rsid w:val="482A6AD9"/>
    <w:rsid w:val="482F217F"/>
    <w:rsid w:val="48312C49"/>
    <w:rsid w:val="48387357"/>
    <w:rsid w:val="483F7E48"/>
    <w:rsid w:val="4848464A"/>
    <w:rsid w:val="48496F13"/>
    <w:rsid w:val="484B3D8F"/>
    <w:rsid w:val="484E7BBC"/>
    <w:rsid w:val="484F4336"/>
    <w:rsid w:val="48536C67"/>
    <w:rsid w:val="48575677"/>
    <w:rsid w:val="485D520F"/>
    <w:rsid w:val="48645CB0"/>
    <w:rsid w:val="48673D41"/>
    <w:rsid w:val="48751F9C"/>
    <w:rsid w:val="4880534E"/>
    <w:rsid w:val="48935DBD"/>
    <w:rsid w:val="48A36EA2"/>
    <w:rsid w:val="48B411AC"/>
    <w:rsid w:val="48BC3E44"/>
    <w:rsid w:val="48CF2936"/>
    <w:rsid w:val="48D2641F"/>
    <w:rsid w:val="48D72AA4"/>
    <w:rsid w:val="48E67B36"/>
    <w:rsid w:val="48E86D71"/>
    <w:rsid w:val="48EB4218"/>
    <w:rsid w:val="48EF328A"/>
    <w:rsid w:val="48F01AEB"/>
    <w:rsid w:val="49077E9E"/>
    <w:rsid w:val="490A5B97"/>
    <w:rsid w:val="490B27BB"/>
    <w:rsid w:val="491002B6"/>
    <w:rsid w:val="4914536F"/>
    <w:rsid w:val="491D2650"/>
    <w:rsid w:val="492B507F"/>
    <w:rsid w:val="492D1DDE"/>
    <w:rsid w:val="493614B0"/>
    <w:rsid w:val="493C7A8C"/>
    <w:rsid w:val="49410A24"/>
    <w:rsid w:val="494857B7"/>
    <w:rsid w:val="494C24B0"/>
    <w:rsid w:val="494E63B6"/>
    <w:rsid w:val="49695C63"/>
    <w:rsid w:val="496D5B7F"/>
    <w:rsid w:val="496F31AF"/>
    <w:rsid w:val="498E3205"/>
    <w:rsid w:val="498F48ED"/>
    <w:rsid w:val="49937027"/>
    <w:rsid w:val="49970E17"/>
    <w:rsid w:val="499F4EF7"/>
    <w:rsid w:val="49A40D7A"/>
    <w:rsid w:val="49A441F8"/>
    <w:rsid w:val="49A63F8D"/>
    <w:rsid w:val="49A65DF7"/>
    <w:rsid w:val="49AA60C1"/>
    <w:rsid w:val="49C13C1C"/>
    <w:rsid w:val="49C3746D"/>
    <w:rsid w:val="49CF7BFD"/>
    <w:rsid w:val="49D3335B"/>
    <w:rsid w:val="4A100063"/>
    <w:rsid w:val="4A1C6CB2"/>
    <w:rsid w:val="4A1E3935"/>
    <w:rsid w:val="4A25663F"/>
    <w:rsid w:val="4A2C19BE"/>
    <w:rsid w:val="4A316551"/>
    <w:rsid w:val="4A370ACB"/>
    <w:rsid w:val="4A534060"/>
    <w:rsid w:val="4A5E3F5D"/>
    <w:rsid w:val="4A643048"/>
    <w:rsid w:val="4A6A0409"/>
    <w:rsid w:val="4A6D57C0"/>
    <w:rsid w:val="4A6E29BE"/>
    <w:rsid w:val="4A737F56"/>
    <w:rsid w:val="4A752B39"/>
    <w:rsid w:val="4A7F7333"/>
    <w:rsid w:val="4A8A2AC5"/>
    <w:rsid w:val="4A8C1339"/>
    <w:rsid w:val="4A8C6B66"/>
    <w:rsid w:val="4AB04074"/>
    <w:rsid w:val="4ABA7B9F"/>
    <w:rsid w:val="4AC550CD"/>
    <w:rsid w:val="4AC673F5"/>
    <w:rsid w:val="4AC8143E"/>
    <w:rsid w:val="4AD25391"/>
    <w:rsid w:val="4ADE111E"/>
    <w:rsid w:val="4ADF495F"/>
    <w:rsid w:val="4AE11F68"/>
    <w:rsid w:val="4AE467D4"/>
    <w:rsid w:val="4AF53FC1"/>
    <w:rsid w:val="4AFB4DFA"/>
    <w:rsid w:val="4B047819"/>
    <w:rsid w:val="4B0906B0"/>
    <w:rsid w:val="4B0A2833"/>
    <w:rsid w:val="4B0E4906"/>
    <w:rsid w:val="4B1102E4"/>
    <w:rsid w:val="4B1D10D9"/>
    <w:rsid w:val="4B322F06"/>
    <w:rsid w:val="4B4C6B69"/>
    <w:rsid w:val="4B4F67F4"/>
    <w:rsid w:val="4B59693F"/>
    <w:rsid w:val="4B5A21BE"/>
    <w:rsid w:val="4B616382"/>
    <w:rsid w:val="4B762E3C"/>
    <w:rsid w:val="4B7C70D6"/>
    <w:rsid w:val="4B825943"/>
    <w:rsid w:val="4B8B7457"/>
    <w:rsid w:val="4B911213"/>
    <w:rsid w:val="4B9C5997"/>
    <w:rsid w:val="4BA6078E"/>
    <w:rsid w:val="4BAF5EFB"/>
    <w:rsid w:val="4BBC2993"/>
    <w:rsid w:val="4BBD20C4"/>
    <w:rsid w:val="4BD17F6C"/>
    <w:rsid w:val="4BD95228"/>
    <w:rsid w:val="4BDF09C0"/>
    <w:rsid w:val="4BE204A5"/>
    <w:rsid w:val="4BE555A3"/>
    <w:rsid w:val="4BF00FDC"/>
    <w:rsid w:val="4BF30667"/>
    <w:rsid w:val="4BF74ED8"/>
    <w:rsid w:val="4BFF7567"/>
    <w:rsid w:val="4C037DED"/>
    <w:rsid w:val="4C0675CE"/>
    <w:rsid w:val="4C0902D0"/>
    <w:rsid w:val="4C0C384A"/>
    <w:rsid w:val="4C0E31B8"/>
    <w:rsid w:val="4C0E7DCB"/>
    <w:rsid w:val="4C135FF8"/>
    <w:rsid w:val="4C1764AE"/>
    <w:rsid w:val="4C1C34EB"/>
    <w:rsid w:val="4C1F6B05"/>
    <w:rsid w:val="4C307E7C"/>
    <w:rsid w:val="4C3124E0"/>
    <w:rsid w:val="4C55337B"/>
    <w:rsid w:val="4C747FD4"/>
    <w:rsid w:val="4C8E10BF"/>
    <w:rsid w:val="4C9F39BE"/>
    <w:rsid w:val="4CA050E3"/>
    <w:rsid w:val="4CB56CBB"/>
    <w:rsid w:val="4CBB2A4F"/>
    <w:rsid w:val="4CBF5CB0"/>
    <w:rsid w:val="4CC173B9"/>
    <w:rsid w:val="4CC85F1B"/>
    <w:rsid w:val="4CD174D7"/>
    <w:rsid w:val="4CDC64EB"/>
    <w:rsid w:val="4CEE44C7"/>
    <w:rsid w:val="4CEE61E7"/>
    <w:rsid w:val="4CF678FA"/>
    <w:rsid w:val="4D09383B"/>
    <w:rsid w:val="4D1971E1"/>
    <w:rsid w:val="4D343765"/>
    <w:rsid w:val="4D396E19"/>
    <w:rsid w:val="4D3C4892"/>
    <w:rsid w:val="4D424758"/>
    <w:rsid w:val="4D45658C"/>
    <w:rsid w:val="4D534390"/>
    <w:rsid w:val="4D59222C"/>
    <w:rsid w:val="4D5A34F5"/>
    <w:rsid w:val="4D644E80"/>
    <w:rsid w:val="4D793969"/>
    <w:rsid w:val="4D876303"/>
    <w:rsid w:val="4D8A3184"/>
    <w:rsid w:val="4D8D636E"/>
    <w:rsid w:val="4D915F63"/>
    <w:rsid w:val="4D9A74D3"/>
    <w:rsid w:val="4DAE09C3"/>
    <w:rsid w:val="4DAF1D9A"/>
    <w:rsid w:val="4DC33C6A"/>
    <w:rsid w:val="4DD16D74"/>
    <w:rsid w:val="4DD52ABB"/>
    <w:rsid w:val="4DD73812"/>
    <w:rsid w:val="4DDC141C"/>
    <w:rsid w:val="4DE27EAA"/>
    <w:rsid w:val="4DEF149C"/>
    <w:rsid w:val="4DF958F8"/>
    <w:rsid w:val="4E060933"/>
    <w:rsid w:val="4E0E1D70"/>
    <w:rsid w:val="4E0F02B7"/>
    <w:rsid w:val="4E1D1467"/>
    <w:rsid w:val="4E287553"/>
    <w:rsid w:val="4E335DF3"/>
    <w:rsid w:val="4E3C224B"/>
    <w:rsid w:val="4E415881"/>
    <w:rsid w:val="4E4243DC"/>
    <w:rsid w:val="4E437937"/>
    <w:rsid w:val="4E4575BD"/>
    <w:rsid w:val="4E464F00"/>
    <w:rsid w:val="4E49494B"/>
    <w:rsid w:val="4E4D7F12"/>
    <w:rsid w:val="4E51019B"/>
    <w:rsid w:val="4E6E6E67"/>
    <w:rsid w:val="4E7322AF"/>
    <w:rsid w:val="4E9C3915"/>
    <w:rsid w:val="4EA60558"/>
    <w:rsid w:val="4EA9308B"/>
    <w:rsid w:val="4EAE0A98"/>
    <w:rsid w:val="4EAF3667"/>
    <w:rsid w:val="4EB40929"/>
    <w:rsid w:val="4EBF389A"/>
    <w:rsid w:val="4ED46FDC"/>
    <w:rsid w:val="4EE33F05"/>
    <w:rsid w:val="4EE421D5"/>
    <w:rsid w:val="4EE42A71"/>
    <w:rsid w:val="4EEA1383"/>
    <w:rsid w:val="4EF25F2E"/>
    <w:rsid w:val="4F1425DB"/>
    <w:rsid w:val="4F152983"/>
    <w:rsid w:val="4F1E7706"/>
    <w:rsid w:val="4F21543B"/>
    <w:rsid w:val="4F277882"/>
    <w:rsid w:val="4F2C2030"/>
    <w:rsid w:val="4F382C48"/>
    <w:rsid w:val="4F383F06"/>
    <w:rsid w:val="4F456E75"/>
    <w:rsid w:val="4F481089"/>
    <w:rsid w:val="4F6416B7"/>
    <w:rsid w:val="4F6E3716"/>
    <w:rsid w:val="4F7051D8"/>
    <w:rsid w:val="4F79486D"/>
    <w:rsid w:val="4F7D163B"/>
    <w:rsid w:val="4F8861C3"/>
    <w:rsid w:val="4F9066D0"/>
    <w:rsid w:val="4F947177"/>
    <w:rsid w:val="4FC1278F"/>
    <w:rsid w:val="4FC135B8"/>
    <w:rsid w:val="4FC6357E"/>
    <w:rsid w:val="4FC66DA0"/>
    <w:rsid w:val="4FC66F64"/>
    <w:rsid w:val="4FD722EE"/>
    <w:rsid w:val="4FDD2DEA"/>
    <w:rsid w:val="4FE42EED"/>
    <w:rsid w:val="4FE57663"/>
    <w:rsid w:val="4FED14AA"/>
    <w:rsid w:val="4FF04A4A"/>
    <w:rsid w:val="4FFD05E3"/>
    <w:rsid w:val="50022B70"/>
    <w:rsid w:val="5002501D"/>
    <w:rsid w:val="50094D73"/>
    <w:rsid w:val="501759D8"/>
    <w:rsid w:val="501B28DA"/>
    <w:rsid w:val="501D14F5"/>
    <w:rsid w:val="502F60D1"/>
    <w:rsid w:val="50342B76"/>
    <w:rsid w:val="503469BB"/>
    <w:rsid w:val="503E34AB"/>
    <w:rsid w:val="503E37F6"/>
    <w:rsid w:val="50473BE6"/>
    <w:rsid w:val="50492544"/>
    <w:rsid w:val="50493772"/>
    <w:rsid w:val="504D77E8"/>
    <w:rsid w:val="50551EA9"/>
    <w:rsid w:val="508E59D1"/>
    <w:rsid w:val="50903BE8"/>
    <w:rsid w:val="50907AE4"/>
    <w:rsid w:val="50957FBE"/>
    <w:rsid w:val="50B30C0A"/>
    <w:rsid w:val="50B633C7"/>
    <w:rsid w:val="50BC16ED"/>
    <w:rsid w:val="50BD42C6"/>
    <w:rsid w:val="50C45232"/>
    <w:rsid w:val="50C51D79"/>
    <w:rsid w:val="50D30E43"/>
    <w:rsid w:val="50D46579"/>
    <w:rsid w:val="50DD7010"/>
    <w:rsid w:val="50DE4288"/>
    <w:rsid w:val="50E57F77"/>
    <w:rsid w:val="50E65242"/>
    <w:rsid w:val="50F32905"/>
    <w:rsid w:val="50F63538"/>
    <w:rsid w:val="50F639B0"/>
    <w:rsid w:val="50FF1BD7"/>
    <w:rsid w:val="510128D5"/>
    <w:rsid w:val="5107016F"/>
    <w:rsid w:val="51157303"/>
    <w:rsid w:val="512A28AD"/>
    <w:rsid w:val="51383C6A"/>
    <w:rsid w:val="513C724C"/>
    <w:rsid w:val="513D7919"/>
    <w:rsid w:val="514D2279"/>
    <w:rsid w:val="514E6DE1"/>
    <w:rsid w:val="515870AC"/>
    <w:rsid w:val="515F7A48"/>
    <w:rsid w:val="516505EF"/>
    <w:rsid w:val="51655BDB"/>
    <w:rsid w:val="518E3F9E"/>
    <w:rsid w:val="51960418"/>
    <w:rsid w:val="5199266A"/>
    <w:rsid w:val="519E0C7B"/>
    <w:rsid w:val="51A41584"/>
    <w:rsid w:val="51A4776B"/>
    <w:rsid w:val="51B537A8"/>
    <w:rsid w:val="51B73E10"/>
    <w:rsid w:val="51B95A7E"/>
    <w:rsid w:val="51BF67E7"/>
    <w:rsid w:val="51DA0BDC"/>
    <w:rsid w:val="51E4053A"/>
    <w:rsid w:val="51E748F1"/>
    <w:rsid w:val="51E94F9E"/>
    <w:rsid w:val="51F31C9E"/>
    <w:rsid w:val="520C218E"/>
    <w:rsid w:val="52117444"/>
    <w:rsid w:val="5237209B"/>
    <w:rsid w:val="523E0931"/>
    <w:rsid w:val="52454DCC"/>
    <w:rsid w:val="52536FBC"/>
    <w:rsid w:val="52637BBA"/>
    <w:rsid w:val="527F092D"/>
    <w:rsid w:val="52830CDC"/>
    <w:rsid w:val="52831DE3"/>
    <w:rsid w:val="52904060"/>
    <w:rsid w:val="52927A5D"/>
    <w:rsid w:val="529923C8"/>
    <w:rsid w:val="529A0D91"/>
    <w:rsid w:val="52A50662"/>
    <w:rsid w:val="52AD5688"/>
    <w:rsid w:val="52AD658D"/>
    <w:rsid w:val="52B40A40"/>
    <w:rsid w:val="52B53E76"/>
    <w:rsid w:val="52BA04EC"/>
    <w:rsid w:val="52C81CDC"/>
    <w:rsid w:val="52D00909"/>
    <w:rsid w:val="52D7048F"/>
    <w:rsid w:val="52E12E5C"/>
    <w:rsid w:val="52E314A4"/>
    <w:rsid w:val="52E924A8"/>
    <w:rsid w:val="52ED5EF2"/>
    <w:rsid w:val="52F816E5"/>
    <w:rsid w:val="52F82839"/>
    <w:rsid w:val="52FE0524"/>
    <w:rsid w:val="530C27CF"/>
    <w:rsid w:val="53132194"/>
    <w:rsid w:val="531517C8"/>
    <w:rsid w:val="532D4EA6"/>
    <w:rsid w:val="533B2BB3"/>
    <w:rsid w:val="53422EDD"/>
    <w:rsid w:val="53514487"/>
    <w:rsid w:val="535E0361"/>
    <w:rsid w:val="53662428"/>
    <w:rsid w:val="537613C0"/>
    <w:rsid w:val="537B69B7"/>
    <w:rsid w:val="538A5797"/>
    <w:rsid w:val="538B4D53"/>
    <w:rsid w:val="538C2F68"/>
    <w:rsid w:val="539C07A0"/>
    <w:rsid w:val="53A401C6"/>
    <w:rsid w:val="53B60137"/>
    <w:rsid w:val="53BA1879"/>
    <w:rsid w:val="53C71BC7"/>
    <w:rsid w:val="53CC144F"/>
    <w:rsid w:val="53CC3695"/>
    <w:rsid w:val="53D41F6D"/>
    <w:rsid w:val="53EA12FD"/>
    <w:rsid w:val="53EF49B2"/>
    <w:rsid w:val="53FA52BF"/>
    <w:rsid w:val="53FD30D3"/>
    <w:rsid w:val="54094B89"/>
    <w:rsid w:val="540B314D"/>
    <w:rsid w:val="540D28DF"/>
    <w:rsid w:val="5427279E"/>
    <w:rsid w:val="54364771"/>
    <w:rsid w:val="543A21DD"/>
    <w:rsid w:val="545570F1"/>
    <w:rsid w:val="5465599B"/>
    <w:rsid w:val="547B0AC2"/>
    <w:rsid w:val="547C2445"/>
    <w:rsid w:val="54822BB1"/>
    <w:rsid w:val="54865468"/>
    <w:rsid w:val="54935938"/>
    <w:rsid w:val="549374B1"/>
    <w:rsid w:val="549459EF"/>
    <w:rsid w:val="54963B09"/>
    <w:rsid w:val="549B4426"/>
    <w:rsid w:val="549D211C"/>
    <w:rsid w:val="549E1C70"/>
    <w:rsid w:val="54A12FCC"/>
    <w:rsid w:val="54A32DA9"/>
    <w:rsid w:val="54B23DCF"/>
    <w:rsid w:val="54C61365"/>
    <w:rsid w:val="54C62B58"/>
    <w:rsid w:val="54CB5C4F"/>
    <w:rsid w:val="54CD1D2A"/>
    <w:rsid w:val="54D21177"/>
    <w:rsid w:val="54D31978"/>
    <w:rsid w:val="54D91B39"/>
    <w:rsid w:val="54DF7644"/>
    <w:rsid w:val="54E600FA"/>
    <w:rsid w:val="54F21C27"/>
    <w:rsid w:val="54F367F6"/>
    <w:rsid w:val="54FE3048"/>
    <w:rsid w:val="55053A0B"/>
    <w:rsid w:val="550A2EF7"/>
    <w:rsid w:val="550F7510"/>
    <w:rsid w:val="55215E17"/>
    <w:rsid w:val="55306036"/>
    <w:rsid w:val="55365E67"/>
    <w:rsid w:val="553962D0"/>
    <w:rsid w:val="553B0012"/>
    <w:rsid w:val="55490876"/>
    <w:rsid w:val="557200B4"/>
    <w:rsid w:val="55A176DC"/>
    <w:rsid w:val="55A9293A"/>
    <w:rsid w:val="55AA6129"/>
    <w:rsid w:val="55AC3575"/>
    <w:rsid w:val="55AF1E43"/>
    <w:rsid w:val="55BC3B9A"/>
    <w:rsid w:val="55C017F8"/>
    <w:rsid w:val="55C04DFF"/>
    <w:rsid w:val="55C10D3F"/>
    <w:rsid w:val="55C76DCB"/>
    <w:rsid w:val="55D15396"/>
    <w:rsid w:val="55DF0452"/>
    <w:rsid w:val="55E708CA"/>
    <w:rsid w:val="55F02908"/>
    <w:rsid w:val="56063F85"/>
    <w:rsid w:val="56127BBD"/>
    <w:rsid w:val="5627421D"/>
    <w:rsid w:val="563520F8"/>
    <w:rsid w:val="56353013"/>
    <w:rsid w:val="563650EB"/>
    <w:rsid w:val="56410432"/>
    <w:rsid w:val="5659302A"/>
    <w:rsid w:val="565E1151"/>
    <w:rsid w:val="567D4F37"/>
    <w:rsid w:val="56922176"/>
    <w:rsid w:val="56961AA7"/>
    <w:rsid w:val="569A075B"/>
    <w:rsid w:val="569E7B17"/>
    <w:rsid w:val="56A7065E"/>
    <w:rsid w:val="56B22127"/>
    <w:rsid w:val="56B63924"/>
    <w:rsid w:val="56B74428"/>
    <w:rsid w:val="56BA6FF6"/>
    <w:rsid w:val="56BF65F2"/>
    <w:rsid w:val="56C001C8"/>
    <w:rsid w:val="56C71151"/>
    <w:rsid w:val="56CE2616"/>
    <w:rsid w:val="56DA0187"/>
    <w:rsid w:val="56F51D9D"/>
    <w:rsid w:val="56FA72BE"/>
    <w:rsid w:val="56FD1FA7"/>
    <w:rsid w:val="570010E5"/>
    <w:rsid w:val="57041F6D"/>
    <w:rsid w:val="5704458D"/>
    <w:rsid w:val="570705DB"/>
    <w:rsid w:val="570C465C"/>
    <w:rsid w:val="570E09FD"/>
    <w:rsid w:val="57193F55"/>
    <w:rsid w:val="57273577"/>
    <w:rsid w:val="573344F6"/>
    <w:rsid w:val="57446945"/>
    <w:rsid w:val="575719D5"/>
    <w:rsid w:val="576816EE"/>
    <w:rsid w:val="57777891"/>
    <w:rsid w:val="577D4D01"/>
    <w:rsid w:val="578D0154"/>
    <w:rsid w:val="578E096E"/>
    <w:rsid w:val="57903350"/>
    <w:rsid w:val="579450B3"/>
    <w:rsid w:val="57967E17"/>
    <w:rsid w:val="57983E75"/>
    <w:rsid w:val="57A44EB3"/>
    <w:rsid w:val="57AF5338"/>
    <w:rsid w:val="57B83C73"/>
    <w:rsid w:val="57DE23A4"/>
    <w:rsid w:val="57DE7B1B"/>
    <w:rsid w:val="57F60BDC"/>
    <w:rsid w:val="57F92D72"/>
    <w:rsid w:val="57FB60E9"/>
    <w:rsid w:val="580112A5"/>
    <w:rsid w:val="581837D3"/>
    <w:rsid w:val="58224075"/>
    <w:rsid w:val="58232224"/>
    <w:rsid w:val="582A4631"/>
    <w:rsid w:val="582D5399"/>
    <w:rsid w:val="58331A46"/>
    <w:rsid w:val="583A4F1D"/>
    <w:rsid w:val="58454B6E"/>
    <w:rsid w:val="58496ABB"/>
    <w:rsid w:val="584A186B"/>
    <w:rsid w:val="584A7507"/>
    <w:rsid w:val="584F2763"/>
    <w:rsid w:val="58577273"/>
    <w:rsid w:val="586A21EA"/>
    <w:rsid w:val="588C31B0"/>
    <w:rsid w:val="58A615A5"/>
    <w:rsid w:val="58A664B4"/>
    <w:rsid w:val="58A9194C"/>
    <w:rsid w:val="58AE2E1E"/>
    <w:rsid w:val="58AF44EB"/>
    <w:rsid w:val="58B74C78"/>
    <w:rsid w:val="58C26E4E"/>
    <w:rsid w:val="58C4781B"/>
    <w:rsid w:val="58D046EE"/>
    <w:rsid w:val="58D90818"/>
    <w:rsid w:val="58DC7983"/>
    <w:rsid w:val="58DD23B8"/>
    <w:rsid w:val="58F80D45"/>
    <w:rsid w:val="58F8360B"/>
    <w:rsid w:val="58F92F2B"/>
    <w:rsid w:val="590B5379"/>
    <w:rsid w:val="59147699"/>
    <w:rsid w:val="59182A68"/>
    <w:rsid w:val="591F7B01"/>
    <w:rsid w:val="59314732"/>
    <w:rsid w:val="59411C23"/>
    <w:rsid w:val="5959779D"/>
    <w:rsid w:val="595F2E94"/>
    <w:rsid w:val="59692AF5"/>
    <w:rsid w:val="59734EF0"/>
    <w:rsid w:val="59770D8E"/>
    <w:rsid w:val="597B6782"/>
    <w:rsid w:val="59846F6B"/>
    <w:rsid w:val="598E7D64"/>
    <w:rsid w:val="599237BE"/>
    <w:rsid w:val="599C4762"/>
    <w:rsid w:val="59A44CCC"/>
    <w:rsid w:val="59AA2058"/>
    <w:rsid w:val="59BA261A"/>
    <w:rsid w:val="59BF4271"/>
    <w:rsid w:val="59C13340"/>
    <w:rsid w:val="59CE3A4E"/>
    <w:rsid w:val="59CF596E"/>
    <w:rsid w:val="59D324F8"/>
    <w:rsid w:val="59FE381D"/>
    <w:rsid w:val="5A0A4179"/>
    <w:rsid w:val="5A0C4C19"/>
    <w:rsid w:val="5A133D60"/>
    <w:rsid w:val="5A192C6E"/>
    <w:rsid w:val="5A1A793C"/>
    <w:rsid w:val="5A2028A1"/>
    <w:rsid w:val="5A246ACA"/>
    <w:rsid w:val="5A33672A"/>
    <w:rsid w:val="5A416A9F"/>
    <w:rsid w:val="5A467009"/>
    <w:rsid w:val="5A6707F7"/>
    <w:rsid w:val="5A7D16D3"/>
    <w:rsid w:val="5A867E27"/>
    <w:rsid w:val="5A8B091A"/>
    <w:rsid w:val="5A916FFC"/>
    <w:rsid w:val="5A970423"/>
    <w:rsid w:val="5A9C7675"/>
    <w:rsid w:val="5AAE7F92"/>
    <w:rsid w:val="5ABC1261"/>
    <w:rsid w:val="5ACB5234"/>
    <w:rsid w:val="5ACC17FB"/>
    <w:rsid w:val="5ACC4F73"/>
    <w:rsid w:val="5ACC603E"/>
    <w:rsid w:val="5AD03DC8"/>
    <w:rsid w:val="5AD133E2"/>
    <w:rsid w:val="5ADF7263"/>
    <w:rsid w:val="5AE2644A"/>
    <w:rsid w:val="5AE76244"/>
    <w:rsid w:val="5AEB4D95"/>
    <w:rsid w:val="5AEE10CF"/>
    <w:rsid w:val="5AF50835"/>
    <w:rsid w:val="5AF77E50"/>
    <w:rsid w:val="5AFC2D50"/>
    <w:rsid w:val="5AFC3A30"/>
    <w:rsid w:val="5AFF0340"/>
    <w:rsid w:val="5AFF25D0"/>
    <w:rsid w:val="5B053AA2"/>
    <w:rsid w:val="5B13665D"/>
    <w:rsid w:val="5B262CA4"/>
    <w:rsid w:val="5B2D21BD"/>
    <w:rsid w:val="5B345184"/>
    <w:rsid w:val="5B3C4687"/>
    <w:rsid w:val="5B3D045E"/>
    <w:rsid w:val="5B3E14A3"/>
    <w:rsid w:val="5B46754A"/>
    <w:rsid w:val="5B4A7E2E"/>
    <w:rsid w:val="5B4F6889"/>
    <w:rsid w:val="5B552D84"/>
    <w:rsid w:val="5B5B6858"/>
    <w:rsid w:val="5B613D25"/>
    <w:rsid w:val="5B6360E6"/>
    <w:rsid w:val="5B6B60B8"/>
    <w:rsid w:val="5B810432"/>
    <w:rsid w:val="5B832051"/>
    <w:rsid w:val="5B87139A"/>
    <w:rsid w:val="5B874C44"/>
    <w:rsid w:val="5B8931CC"/>
    <w:rsid w:val="5B98411D"/>
    <w:rsid w:val="5BD9702E"/>
    <w:rsid w:val="5BDB3375"/>
    <w:rsid w:val="5BEB14F2"/>
    <w:rsid w:val="5C036D68"/>
    <w:rsid w:val="5C07266B"/>
    <w:rsid w:val="5C0F5C5E"/>
    <w:rsid w:val="5C111A23"/>
    <w:rsid w:val="5C1B5EA3"/>
    <w:rsid w:val="5C1D524A"/>
    <w:rsid w:val="5C20741A"/>
    <w:rsid w:val="5C274C93"/>
    <w:rsid w:val="5C2C26AA"/>
    <w:rsid w:val="5C324D09"/>
    <w:rsid w:val="5C4836D0"/>
    <w:rsid w:val="5C4A41B3"/>
    <w:rsid w:val="5C4F3BEE"/>
    <w:rsid w:val="5C4F5532"/>
    <w:rsid w:val="5C5B6A9B"/>
    <w:rsid w:val="5C5F0925"/>
    <w:rsid w:val="5C670E64"/>
    <w:rsid w:val="5C67386C"/>
    <w:rsid w:val="5C6772E0"/>
    <w:rsid w:val="5C6A3B01"/>
    <w:rsid w:val="5C6B19CE"/>
    <w:rsid w:val="5C817120"/>
    <w:rsid w:val="5C8460CC"/>
    <w:rsid w:val="5C85532E"/>
    <w:rsid w:val="5C930F27"/>
    <w:rsid w:val="5C937734"/>
    <w:rsid w:val="5CAE3326"/>
    <w:rsid w:val="5CB00D56"/>
    <w:rsid w:val="5CB9735D"/>
    <w:rsid w:val="5CBA1D3A"/>
    <w:rsid w:val="5CBA6EB3"/>
    <w:rsid w:val="5CBB6898"/>
    <w:rsid w:val="5CC12C99"/>
    <w:rsid w:val="5CC22A6E"/>
    <w:rsid w:val="5CD562CC"/>
    <w:rsid w:val="5CE87949"/>
    <w:rsid w:val="5CED2E77"/>
    <w:rsid w:val="5CEF2175"/>
    <w:rsid w:val="5CF97969"/>
    <w:rsid w:val="5D035A25"/>
    <w:rsid w:val="5D0B4862"/>
    <w:rsid w:val="5D1240AE"/>
    <w:rsid w:val="5D3155E1"/>
    <w:rsid w:val="5D3324D7"/>
    <w:rsid w:val="5D3B3FC2"/>
    <w:rsid w:val="5D3F277F"/>
    <w:rsid w:val="5D402DD3"/>
    <w:rsid w:val="5D4A32B2"/>
    <w:rsid w:val="5D4D7B5E"/>
    <w:rsid w:val="5D4E3B9F"/>
    <w:rsid w:val="5D5424E6"/>
    <w:rsid w:val="5D551A5E"/>
    <w:rsid w:val="5D59128F"/>
    <w:rsid w:val="5D686AED"/>
    <w:rsid w:val="5D7149EC"/>
    <w:rsid w:val="5D755375"/>
    <w:rsid w:val="5D80374B"/>
    <w:rsid w:val="5D835927"/>
    <w:rsid w:val="5D952328"/>
    <w:rsid w:val="5DA73319"/>
    <w:rsid w:val="5DA80DE1"/>
    <w:rsid w:val="5DB032D9"/>
    <w:rsid w:val="5DB61C71"/>
    <w:rsid w:val="5DC6083A"/>
    <w:rsid w:val="5DC869A9"/>
    <w:rsid w:val="5DD225B9"/>
    <w:rsid w:val="5DDB7723"/>
    <w:rsid w:val="5DDD4C8E"/>
    <w:rsid w:val="5DE63230"/>
    <w:rsid w:val="5DE85E1F"/>
    <w:rsid w:val="5DE87042"/>
    <w:rsid w:val="5DF0255D"/>
    <w:rsid w:val="5DF1785F"/>
    <w:rsid w:val="5DF21E4C"/>
    <w:rsid w:val="5DF55640"/>
    <w:rsid w:val="5DFB2EB7"/>
    <w:rsid w:val="5DFD13E8"/>
    <w:rsid w:val="5E02418C"/>
    <w:rsid w:val="5E0324A0"/>
    <w:rsid w:val="5E043223"/>
    <w:rsid w:val="5E3953B0"/>
    <w:rsid w:val="5E403FF5"/>
    <w:rsid w:val="5E4C36B6"/>
    <w:rsid w:val="5E542849"/>
    <w:rsid w:val="5E547766"/>
    <w:rsid w:val="5E575756"/>
    <w:rsid w:val="5E641CDC"/>
    <w:rsid w:val="5E671FD2"/>
    <w:rsid w:val="5E702017"/>
    <w:rsid w:val="5E906C18"/>
    <w:rsid w:val="5E914D18"/>
    <w:rsid w:val="5E976FC5"/>
    <w:rsid w:val="5E9C59EF"/>
    <w:rsid w:val="5E9F2F03"/>
    <w:rsid w:val="5EBF517D"/>
    <w:rsid w:val="5ED5780E"/>
    <w:rsid w:val="5ED96F94"/>
    <w:rsid w:val="5EDA5AF6"/>
    <w:rsid w:val="5EE232D0"/>
    <w:rsid w:val="5EF16ADA"/>
    <w:rsid w:val="5EF40099"/>
    <w:rsid w:val="5F055E34"/>
    <w:rsid w:val="5F0D11D5"/>
    <w:rsid w:val="5F152036"/>
    <w:rsid w:val="5F2174BC"/>
    <w:rsid w:val="5F3204F4"/>
    <w:rsid w:val="5F326F61"/>
    <w:rsid w:val="5F346A3D"/>
    <w:rsid w:val="5F3F04F3"/>
    <w:rsid w:val="5F5D4BE3"/>
    <w:rsid w:val="5F622194"/>
    <w:rsid w:val="5F6B7441"/>
    <w:rsid w:val="5F7820CB"/>
    <w:rsid w:val="5F916509"/>
    <w:rsid w:val="5F935061"/>
    <w:rsid w:val="5FA865EF"/>
    <w:rsid w:val="5FB675BA"/>
    <w:rsid w:val="5FB77434"/>
    <w:rsid w:val="5FC317C5"/>
    <w:rsid w:val="5FD22CDC"/>
    <w:rsid w:val="5FD95C03"/>
    <w:rsid w:val="5FDC1264"/>
    <w:rsid w:val="5FE009B3"/>
    <w:rsid w:val="5FE21D8E"/>
    <w:rsid w:val="5FE54197"/>
    <w:rsid w:val="5FF33C31"/>
    <w:rsid w:val="5FF822B0"/>
    <w:rsid w:val="5FF97FF3"/>
    <w:rsid w:val="60027ABF"/>
    <w:rsid w:val="600657CB"/>
    <w:rsid w:val="60090B84"/>
    <w:rsid w:val="600C0E2A"/>
    <w:rsid w:val="600E4239"/>
    <w:rsid w:val="60321D25"/>
    <w:rsid w:val="603240D0"/>
    <w:rsid w:val="60354DAE"/>
    <w:rsid w:val="603B5F4D"/>
    <w:rsid w:val="604753E2"/>
    <w:rsid w:val="606072DA"/>
    <w:rsid w:val="606F5E5E"/>
    <w:rsid w:val="60811F7E"/>
    <w:rsid w:val="60915841"/>
    <w:rsid w:val="60920D7E"/>
    <w:rsid w:val="609E0F68"/>
    <w:rsid w:val="60A2066C"/>
    <w:rsid w:val="60B93F25"/>
    <w:rsid w:val="60C21A11"/>
    <w:rsid w:val="60C23474"/>
    <w:rsid w:val="60C909ED"/>
    <w:rsid w:val="60CE69D6"/>
    <w:rsid w:val="60CF4C8F"/>
    <w:rsid w:val="60DB5A94"/>
    <w:rsid w:val="60E705AB"/>
    <w:rsid w:val="60E86DCB"/>
    <w:rsid w:val="60F322D5"/>
    <w:rsid w:val="60F827BF"/>
    <w:rsid w:val="61091D05"/>
    <w:rsid w:val="611A2248"/>
    <w:rsid w:val="611D4168"/>
    <w:rsid w:val="612C19FC"/>
    <w:rsid w:val="61346A71"/>
    <w:rsid w:val="613B3276"/>
    <w:rsid w:val="613B6C42"/>
    <w:rsid w:val="6143135A"/>
    <w:rsid w:val="61441FAF"/>
    <w:rsid w:val="614C6ABF"/>
    <w:rsid w:val="6157399F"/>
    <w:rsid w:val="61615F59"/>
    <w:rsid w:val="616528FF"/>
    <w:rsid w:val="61673382"/>
    <w:rsid w:val="6169336B"/>
    <w:rsid w:val="616F0BB5"/>
    <w:rsid w:val="617850FE"/>
    <w:rsid w:val="61882AAA"/>
    <w:rsid w:val="618C7F30"/>
    <w:rsid w:val="61912622"/>
    <w:rsid w:val="619429A3"/>
    <w:rsid w:val="619C23FF"/>
    <w:rsid w:val="619C2FB2"/>
    <w:rsid w:val="619F400D"/>
    <w:rsid w:val="61A36EF7"/>
    <w:rsid w:val="61B923F3"/>
    <w:rsid w:val="61C159E9"/>
    <w:rsid w:val="61C46E8B"/>
    <w:rsid w:val="61D71A58"/>
    <w:rsid w:val="61D75EC9"/>
    <w:rsid w:val="61DB16DC"/>
    <w:rsid w:val="61EA341B"/>
    <w:rsid w:val="61F81ED3"/>
    <w:rsid w:val="61FB3DE6"/>
    <w:rsid w:val="62061C14"/>
    <w:rsid w:val="621343A3"/>
    <w:rsid w:val="62164AFD"/>
    <w:rsid w:val="621920A8"/>
    <w:rsid w:val="621A0A6F"/>
    <w:rsid w:val="621C702B"/>
    <w:rsid w:val="6222463C"/>
    <w:rsid w:val="62270398"/>
    <w:rsid w:val="622812C4"/>
    <w:rsid w:val="62312A98"/>
    <w:rsid w:val="62315995"/>
    <w:rsid w:val="62360A7F"/>
    <w:rsid w:val="624A79BE"/>
    <w:rsid w:val="625666CF"/>
    <w:rsid w:val="625741ED"/>
    <w:rsid w:val="62583BE4"/>
    <w:rsid w:val="6260332B"/>
    <w:rsid w:val="626F2346"/>
    <w:rsid w:val="62716123"/>
    <w:rsid w:val="62775127"/>
    <w:rsid w:val="62780BB6"/>
    <w:rsid w:val="6280757E"/>
    <w:rsid w:val="6285108B"/>
    <w:rsid w:val="62852D1B"/>
    <w:rsid w:val="62855577"/>
    <w:rsid w:val="628E0BA3"/>
    <w:rsid w:val="628F3577"/>
    <w:rsid w:val="629735E4"/>
    <w:rsid w:val="629E197F"/>
    <w:rsid w:val="62B46D05"/>
    <w:rsid w:val="62BF11DF"/>
    <w:rsid w:val="62C26C44"/>
    <w:rsid w:val="62C628AF"/>
    <w:rsid w:val="62C86B2C"/>
    <w:rsid w:val="62E144AD"/>
    <w:rsid w:val="62F706CF"/>
    <w:rsid w:val="62FC3808"/>
    <w:rsid w:val="62FF3974"/>
    <w:rsid w:val="6309257E"/>
    <w:rsid w:val="630F12B4"/>
    <w:rsid w:val="63175F96"/>
    <w:rsid w:val="631E5932"/>
    <w:rsid w:val="631E6AB1"/>
    <w:rsid w:val="631F1803"/>
    <w:rsid w:val="631F69B7"/>
    <w:rsid w:val="63294A99"/>
    <w:rsid w:val="632F14AC"/>
    <w:rsid w:val="63442292"/>
    <w:rsid w:val="635B786D"/>
    <w:rsid w:val="63611073"/>
    <w:rsid w:val="63691F42"/>
    <w:rsid w:val="63694F82"/>
    <w:rsid w:val="63706FBB"/>
    <w:rsid w:val="63730DAC"/>
    <w:rsid w:val="63784FDE"/>
    <w:rsid w:val="639078FF"/>
    <w:rsid w:val="63A51E67"/>
    <w:rsid w:val="63B61E78"/>
    <w:rsid w:val="63B84C57"/>
    <w:rsid w:val="63BD4511"/>
    <w:rsid w:val="63D06A68"/>
    <w:rsid w:val="63E74C92"/>
    <w:rsid w:val="63F30DA8"/>
    <w:rsid w:val="63F33E26"/>
    <w:rsid w:val="63F5581A"/>
    <w:rsid w:val="63FE1B4A"/>
    <w:rsid w:val="64002E0C"/>
    <w:rsid w:val="64007173"/>
    <w:rsid w:val="640E2C1F"/>
    <w:rsid w:val="64254AC2"/>
    <w:rsid w:val="642D027A"/>
    <w:rsid w:val="64335CF7"/>
    <w:rsid w:val="643564D9"/>
    <w:rsid w:val="643A63B3"/>
    <w:rsid w:val="643F44C4"/>
    <w:rsid w:val="64587BDF"/>
    <w:rsid w:val="645D1704"/>
    <w:rsid w:val="646E3793"/>
    <w:rsid w:val="647A3390"/>
    <w:rsid w:val="647F05F0"/>
    <w:rsid w:val="648B0E90"/>
    <w:rsid w:val="648D1383"/>
    <w:rsid w:val="64922A35"/>
    <w:rsid w:val="64A30500"/>
    <w:rsid w:val="64A6472E"/>
    <w:rsid w:val="64BB236E"/>
    <w:rsid w:val="64C032F6"/>
    <w:rsid w:val="64C41155"/>
    <w:rsid w:val="64CA7568"/>
    <w:rsid w:val="64D23E69"/>
    <w:rsid w:val="64DA7B23"/>
    <w:rsid w:val="64DB48B6"/>
    <w:rsid w:val="64E736ED"/>
    <w:rsid w:val="64EB5CA6"/>
    <w:rsid w:val="64F23D29"/>
    <w:rsid w:val="6500123E"/>
    <w:rsid w:val="6503246A"/>
    <w:rsid w:val="650A374B"/>
    <w:rsid w:val="65267DC3"/>
    <w:rsid w:val="653242A1"/>
    <w:rsid w:val="654E4423"/>
    <w:rsid w:val="654E6F54"/>
    <w:rsid w:val="656D2F29"/>
    <w:rsid w:val="6583784A"/>
    <w:rsid w:val="658A6D41"/>
    <w:rsid w:val="658B14F1"/>
    <w:rsid w:val="65AF2CA9"/>
    <w:rsid w:val="65B944A1"/>
    <w:rsid w:val="65BA6AFB"/>
    <w:rsid w:val="65CE49DC"/>
    <w:rsid w:val="65D05CA1"/>
    <w:rsid w:val="65D21B77"/>
    <w:rsid w:val="65DD7906"/>
    <w:rsid w:val="65E300CE"/>
    <w:rsid w:val="65F4012B"/>
    <w:rsid w:val="65FD3FFE"/>
    <w:rsid w:val="6603412B"/>
    <w:rsid w:val="660F4461"/>
    <w:rsid w:val="66115155"/>
    <w:rsid w:val="66115188"/>
    <w:rsid w:val="66186D29"/>
    <w:rsid w:val="661C5640"/>
    <w:rsid w:val="66210809"/>
    <w:rsid w:val="66291291"/>
    <w:rsid w:val="662A5DDE"/>
    <w:rsid w:val="66433AEA"/>
    <w:rsid w:val="664B1B60"/>
    <w:rsid w:val="664F2F6E"/>
    <w:rsid w:val="665964A4"/>
    <w:rsid w:val="666D6F81"/>
    <w:rsid w:val="667777DA"/>
    <w:rsid w:val="667805D4"/>
    <w:rsid w:val="667A120E"/>
    <w:rsid w:val="668056EE"/>
    <w:rsid w:val="66845DF8"/>
    <w:rsid w:val="66864CEE"/>
    <w:rsid w:val="668C129A"/>
    <w:rsid w:val="66975912"/>
    <w:rsid w:val="6698425E"/>
    <w:rsid w:val="669C6E29"/>
    <w:rsid w:val="669E3E2A"/>
    <w:rsid w:val="66A662BE"/>
    <w:rsid w:val="66A90DFD"/>
    <w:rsid w:val="66B63B98"/>
    <w:rsid w:val="66B850C6"/>
    <w:rsid w:val="66BC1A5D"/>
    <w:rsid w:val="66C03D5B"/>
    <w:rsid w:val="66D808E7"/>
    <w:rsid w:val="66DE745E"/>
    <w:rsid w:val="66E7644A"/>
    <w:rsid w:val="66EB2629"/>
    <w:rsid w:val="66F0053A"/>
    <w:rsid w:val="66F030F0"/>
    <w:rsid w:val="66F078DC"/>
    <w:rsid w:val="66F523A0"/>
    <w:rsid w:val="670267B3"/>
    <w:rsid w:val="6704493C"/>
    <w:rsid w:val="67120D0B"/>
    <w:rsid w:val="671842C0"/>
    <w:rsid w:val="671F40B4"/>
    <w:rsid w:val="67207113"/>
    <w:rsid w:val="672316BC"/>
    <w:rsid w:val="672524A2"/>
    <w:rsid w:val="67332E10"/>
    <w:rsid w:val="67442B55"/>
    <w:rsid w:val="67515F84"/>
    <w:rsid w:val="6754387B"/>
    <w:rsid w:val="67563C64"/>
    <w:rsid w:val="67641CA6"/>
    <w:rsid w:val="67887DBD"/>
    <w:rsid w:val="678A36CA"/>
    <w:rsid w:val="679249E6"/>
    <w:rsid w:val="67926A9A"/>
    <w:rsid w:val="67927BA5"/>
    <w:rsid w:val="67936B8C"/>
    <w:rsid w:val="67AE4666"/>
    <w:rsid w:val="67AF7805"/>
    <w:rsid w:val="67B2525E"/>
    <w:rsid w:val="67BA47CA"/>
    <w:rsid w:val="67BA5F8A"/>
    <w:rsid w:val="67C70B88"/>
    <w:rsid w:val="67CD2799"/>
    <w:rsid w:val="67D13B94"/>
    <w:rsid w:val="67E47B3A"/>
    <w:rsid w:val="67E90B66"/>
    <w:rsid w:val="67F04A8D"/>
    <w:rsid w:val="67FF2494"/>
    <w:rsid w:val="68001AE2"/>
    <w:rsid w:val="680547EE"/>
    <w:rsid w:val="68066561"/>
    <w:rsid w:val="68126338"/>
    <w:rsid w:val="68201045"/>
    <w:rsid w:val="6824406F"/>
    <w:rsid w:val="682F633B"/>
    <w:rsid w:val="6836671B"/>
    <w:rsid w:val="68383950"/>
    <w:rsid w:val="683C1006"/>
    <w:rsid w:val="68612A3D"/>
    <w:rsid w:val="686430B6"/>
    <w:rsid w:val="686E18DB"/>
    <w:rsid w:val="687A51B6"/>
    <w:rsid w:val="68865837"/>
    <w:rsid w:val="688E350F"/>
    <w:rsid w:val="68931FC8"/>
    <w:rsid w:val="68B07D93"/>
    <w:rsid w:val="68BB6CC2"/>
    <w:rsid w:val="68C64819"/>
    <w:rsid w:val="68C7359A"/>
    <w:rsid w:val="68DB416F"/>
    <w:rsid w:val="68DE3134"/>
    <w:rsid w:val="68E5013C"/>
    <w:rsid w:val="68F240B9"/>
    <w:rsid w:val="68F36839"/>
    <w:rsid w:val="68F509B4"/>
    <w:rsid w:val="68F71FBD"/>
    <w:rsid w:val="68FA40EE"/>
    <w:rsid w:val="68FA700C"/>
    <w:rsid w:val="692068A8"/>
    <w:rsid w:val="69230854"/>
    <w:rsid w:val="69254B32"/>
    <w:rsid w:val="692661CE"/>
    <w:rsid w:val="693153E0"/>
    <w:rsid w:val="69350892"/>
    <w:rsid w:val="694064F0"/>
    <w:rsid w:val="695B4BD0"/>
    <w:rsid w:val="696F2DC2"/>
    <w:rsid w:val="697C2352"/>
    <w:rsid w:val="69872B85"/>
    <w:rsid w:val="698B6B00"/>
    <w:rsid w:val="698D33D7"/>
    <w:rsid w:val="69914C5D"/>
    <w:rsid w:val="699772FD"/>
    <w:rsid w:val="699A7D1E"/>
    <w:rsid w:val="699C1D97"/>
    <w:rsid w:val="69A7020E"/>
    <w:rsid w:val="69C75644"/>
    <w:rsid w:val="69D55C51"/>
    <w:rsid w:val="69DB35EE"/>
    <w:rsid w:val="69E04B87"/>
    <w:rsid w:val="69F242F0"/>
    <w:rsid w:val="69FA77A2"/>
    <w:rsid w:val="69FE18EF"/>
    <w:rsid w:val="6A077B2B"/>
    <w:rsid w:val="6A0D57A9"/>
    <w:rsid w:val="6A161220"/>
    <w:rsid w:val="6A203C92"/>
    <w:rsid w:val="6A204474"/>
    <w:rsid w:val="6A285530"/>
    <w:rsid w:val="6A2D038F"/>
    <w:rsid w:val="6A3450D6"/>
    <w:rsid w:val="6A353EEE"/>
    <w:rsid w:val="6A3A7497"/>
    <w:rsid w:val="6A4153D1"/>
    <w:rsid w:val="6A463716"/>
    <w:rsid w:val="6A4B5668"/>
    <w:rsid w:val="6A5B5FCA"/>
    <w:rsid w:val="6A641533"/>
    <w:rsid w:val="6A6D30AE"/>
    <w:rsid w:val="6A8901C5"/>
    <w:rsid w:val="6A9954EF"/>
    <w:rsid w:val="6A9D3B1B"/>
    <w:rsid w:val="6AA067B9"/>
    <w:rsid w:val="6AAA4ACE"/>
    <w:rsid w:val="6AAB2C8A"/>
    <w:rsid w:val="6ABA73A5"/>
    <w:rsid w:val="6AC406AC"/>
    <w:rsid w:val="6ACB41EE"/>
    <w:rsid w:val="6AEC5445"/>
    <w:rsid w:val="6AF5276D"/>
    <w:rsid w:val="6B081E55"/>
    <w:rsid w:val="6B1E4FA3"/>
    <w:rsid w:val="6B2A544F"/>
    <w:rsid w:val="6B41312C"/>
    <w:rsid w:val="6B472432"/>
    <w:rsid w:val="6B50632B"/>
    <w:rsid w:val="6B5816D7"/>
    <w:rsid w:val="6B5C7DEC"/>
    <w:rsid w:val="6B5F6241"/>
    <w:rsid w:val="6B653058"/>
    <w:rsid w:val="6B6F4786"/>
    <w:rsid w:val="6B792615"/>
    <w:rsid w:val="6B7C0742"/>
    <w:rsid w:val="6B824F92"/>
    <w:rsid w:val="6B863716"/>
    <w:rsid w:val="6BA36552"/>
    <w:rsid w:val="6BB10947"/>
    <w:rsid w:val="6BC50569"/>
    <w:rsid w:val="6BC60E30"/>
    <w:rsid w:val="6BD12C1C"/>
    <w:rsid w:val="6BD47E40"/>
    <w:rsid w:val="6BD550DD"/>
    <w:rsid w:val="6BE66B9A"/>
    <w:rsid w:val="6BE94A92"/>
    <w:rsid w:val="6BEA3CBA"/>
    <w:rsid w:val="6BF25152"/>
    <w:rsid w:val="6BFD25E2"/>
    <w:rsid w:val="6C067416"/>
    <w:rsid w:val="6C130C57"/>
    <w:rsid w:val="6C2306B6"/>
    <w:rsid w:val="6C235193"/>
    <w:rsid w:val="6C262F0C"/>
    <w:rsid w:val="6C2D73FA"/>
    <w:rsid w:val="6C3A71AA"/>
    <w:rsid w:val="6C4013C8"/>
    <w:rsid w:val="6C48392B"/>
    <w:rsid w:val="6C543A21"/>
    <w:rsid w:val="6C7413FA"/>
    <w:rsid w:val="6C826936"/>
    <w:rsid w:val="6C8F7554"/>
    <w:rsid w:val="6C9360FF"/>
    <w:rsid w:val="6CC20FE3"/>
    <w:rsid w:val="6CC81C69"/>
    <w:rsid w:val="6CC96795"/>
    <w:rsid w:val="6CCA7735"/>
    <w:rsid w:val="6CD15BE3"/>
    <w:rsid w:val="6CD97846"/>
    <w:rsid w:val="6CDC6E5B"/>
    <w:rsid w:val="6D1312D5"/>
    <w:rsid w:val="6D155C5C"/>
    <w:rsid w:val="6D233582"/>
    <w:rsid w:val="6D313AEC"/>
    <w:rsid w:val="6D3159BE"/>
    <w:rsid w:val="6D46164B"/>
    <w:rsid w:val="6D560541"/>
    <w:rsid w:val="6D5D1E03"/>
    <w:rsid w:val="6D5E2F15"/>
    <w:rsid w:val="6D76663C"/>
    <w:rsid w:val="6D7D246C"/>
    <w:rsid w:val="6D7D3037"/>
    <w:rsid w:val="6D7D628B"/>
    <w:rsid w:val="6D8B5801"/>
    <w:rsid w:val="6D8F655F"/>
    <w:rsid w:val="6D967D6F"/>
    <w:rsid w:val="6D9B1405"/>
    <w:rsid w:val="6D9D413F"/>
    <w:rsid w:val="6DA037B8"/>
    <w:rsid w:val="6DB97DE8"/>
    <w:rsid w:val="6DBE2FB8"/>
    <w:rsid w:val="6DC3385B"/>
    <w:rsid w:val="6DC97D6B"/>
    <w:rsid w:val="6DCD3076"/>
    <w:rsid w:val="6DCF0318"/>
    <w:rsid w:val="6DD3225C"/>
    <w:rsid w:val="6DD46BAF"/>
    <w:rsid w:val="6DD51FD6"/>
    <w:rsid w:val="6DD64520"/>
    <w:rsid w:val="6DE315C9"/>
    <w:rsid w:val="6DE63628"/>
    <w:rsid w:val="6DF17111"/>
    <w:rsid w:val="6DF559B0"/>
    <w:rsid w:val="6DF67499"/>
    <w:rsid w:val="6DFC1DE2"/>
    <w:rsid w:val="6E056B89"/>
    <w:rsid w:val="6E05733E"/>
    <w:rsid w:val="6E0D1029"/>
    <w:rsid w:val="6E287E89"/>
    <w:rsid w:val="6E323094"/>
    <w:rsid w:val="6E3553D0"/>
    <w:rsid w:val="6E3E46F4"/>
    <w:rsid w:val="6E4635BF"/>
    <w:rsid w:val="6E4C08EC"/>
    <w:rsid w:val="6E544C45"/>
    <w:rsid w:val="6E5D3D29"/>
    <w:rsid w:val="6E615A2A"/>
    <w:rsid w:val="6E7C3F72"/>
    <w:rsid w:val="6E7F283D"/>
    <w:rsid w:val="6E823961"/>
    <w:rsid w:val="6EC41A12"/>
    <w:rsid w:val="6EC47FEE"/>
    <w:rsid w:val="6EC82A04"/>
    <w:rsid w:val="6EE00502"/>
    <w:rsid w:val="6EE96843"/>
    <w:rsid w:val="6F093E12"/>
    <w:rsid w:val="6F4003D8"/>
    <w:rsid w:val="6F43558C"/>
    <w:rsid w:val="6F452112"/>
    <w:rsid w:val="6F4E7777"/>
    <w:rsid w:val="6F541699"/>
    <w:rsid w:val="6F605489"/>
    <w:rsid w:val="6F631BCF"/>
    <w:rsid w:val="6F703EFC"/>
    <w:rsid w:val="6F8812B5"/>
    <w:rsid w:val="6F8814B8"/>
    <w:rsid w:val="6F92079B"/>
    <w:rsid w:val="6F946C32"/>
    <w:rsid w:val="6F991AC8"/>
    <w:rsid w:val="6F9F0FA2"/>
    <w:rsid w:val="6FA35470"/>
    <w:rsid w:val="6FA93828"/>
    <w:rsid w:val="6FAD45E3"/>
    <w:rsid w:val="6FB10502"/>
    <w:rsid w:val="6FC31995"/>
    <w:rsid w:val="6FCC38BC"/>
    <w:rsid w:val="6FD9080B"/>
    <w:rsid w:val="6FDE70E2"/>
    <w:rsid w:val="6FE212C4"/>
    <w:rsid w:val="6FEC696D"/>
    <w:rsid w:val="6FF122CD"/>
    <w:rsid w:val="6FF42ECF"/>
    <w:rsid w:val="70100E15"/>
    <w:rsid w:val="702621F4"/>
    <w:rsid w:val="702A21D5"/>
    <w:rsid w:val="704B19C6"/>
    <w:rsid w:val="70584CAE"/>
    <w:rsid w:val="70594994"/>
    <w:rsid w:val="7060672C"/>
    <w:rsid w:val="706124A1"/>
    <w:rsid w:val="706D7D8B"/>
    <w:rsid w:val="707864E8"/>
    <w:rsid w:val="70834FCB"/>
    <w:rsid w:val="7087740C"/>
    <w:rsid w:val="70B040C3"/>
    <w:rsid w:val="70BD0AFD"/>
    <w:rsid w:val="70C20D61"/>
    <w:rsid w:val="70D5345E"/>
    <w:rsid w:val="70E14F10"/>
    <w:rsid w:val="70EE7DA8"/>
    <w:rsid w:val="70EF5D23"/>
    <w:rsid w:val="70F97256"/>
    <w:rsid w:val="70FF3D6F"/>
    <w:rsid w:val="71054DB9"/>
    <w:rsid w:val="7110207E"/>
    <w:rsid w:val="71127208"/>
    <w:rsid w:val="71132420"/>
    <w:rsid w:val="712C079E"/>
    <w:rsid w:val="712F4711"/>
    <w:rsid w:val="71315999"/>
    <w:rsid w:val="7133109A"/>
    <w:rsid w:val="71333658"/>
    <w:rsid w:val="713E4B4E"/>
    <w:rsid w:val="714B2BD6"/>
    <w:rsid w:val="715C48FD"/>
    <w:rsid w:val="71657065"/>
    <w:rsid w:val="71670588"/>
    <w:rsid w:val="716F4FB4"/>
    <w:rsid w:val="71703081"/>
    <w:rsid w:val="717A06FD"/>
    <w:rsid w:val="718C34D7"/>
    <w:rsid w:val="718F74E6"/>
    <w:rsid w:val="71923F85"/>
    <w:rsid w:val="719271DF"/>
    <w:rsid w:val="7198534D"/>
    <w:rsid w:val="71A64A02"/>
    <w:rsid w:val="71B43FF7"/>
    <w:rsid w:val="71C34CB7"/>
    <w:rsid w:val="71C55400"/>
    <w:rsid w:val="71C57011"/>
    <w:rsid w:val="71D40814"/>
    <w:rsid w:val="71E576E0"/>
    <w:rsid w:val="71F52A14"/>
    <w:rsid w:val="72094025"/>
    <w:rsid w:val="7209518F"/>
    <w:rsid w:val="720C61B4"/>
    <w:rsid w:val="720F3617"/>
    <w:rsid w:val="72132382"/>
    <w:rsid w:val="72281584"/>
    <w:rsid w:val="72323883"/>
    <w:rsid w:val="72334533"/>
    <w:rsid w:val="72377896"/>
    <w:rsid w:val="723C1536"/>
    <w:rsid w:val="72597039"/>
    <w:rsid w:val="72634604"/>
    <w:rsid w:val="728A0B92"/>
    <w:rsid w:val="7294399A"/>
    <w:rsid w:val="7294761D"/>
    <w:rsid w:val="72980221"/>
    <w:rsid w:val="729D3565"/>
    <w:rsid w:val="72A7546D"/>
    <w:rsid w:val="72A938EB"/>
    <w:rsid w:val="72AE46BF"/>
    <w:rsid w:val="72B04ABA"/>
    <w:rsid w:val="72B4722E"/>
    <w:rsid w:val="72BB4801"/>
    <w:rsid w:val="72C71825"/>
    <w:rsid w:val="72CA432F"/>
    <w:rsid w:val="72CC2E2F"/>
    <w:rsid w:val="72CE4B8E"/>
    <w:rsid w:val="72CF6D4A"/>
    <w:rsid w:val="72D21B8A"/>
    <w:rsid w:val="72DD4A80"/>
    <w:rsid w:val="72DF6220"/>
    <w:rsid w:val="72E10BC6"/>
    <w:rsid w:val="72E2040D"/>
    <w:rsid w:val="72E70907"/>
    <w:rsid w:val="72E70E66"/>
    <w:rsid w:val="72E8280C"/>
    <w:rsid w:val="72EE0F72"/>
    <w:rsid w:val="72EF0F60"/>
    <w:rsid w:val="72F43C7E"/>
    <w:rsid w:val="72FB5507"/>
    <w:rsid w:val="7301193F"/>
    <w:rsid w:val="73026831"/>
    <w:rsid w:val="73035B6C"/>
    <w:rsid w:val="730B1B7F"/>
    <w:rsid w:val="730F52CA"/>
    <w:rsid w:val="731C29AB"/>
    <w:rsid w:val="73255AB2"/>
    <w:rsid w:val="73293C9E"/>
    <w:rsid w:val="732B0F67"/>
    <w:rsid w:val="73314A31"/>
    <w:rsid w:val="733C7A2B"/>
    <w:rsid w:val="73402F17"/>
    <w:rsid w:val="73477783"/>
    <w:rsid w:val="73742955"/>
    <w:rsid w:val="7387566C"/>
    <w:rsid w:val="73901DAD"/>
    <w:rsid w:val="739C77E2"/>
    <w:rsid w:val="73A46746"/>
    <w:rsid w:val="73D15969"/>
    <w:rsid w:val="73D35281"/>
    <w:rsid w:val="73D4213C"/>
    <w:rsid w:val="73E45B43"/>
    <w:rsid w:val="73F708CB"/>
    <w:rsid w:val="73FD1E16"/>
    <w:rsid w:val="74072177"/>
    <w:rsid w:val="740E0C40"/>
    <w:rsid w:val="74106624"/>
    <w:rsid w:val="7410761F"/>
    <w:rsid w:val="742C7068"/>
    <w:rsid w:val="742F5074"/>
    <w:rsid w:val="743A5268"/>
    <w:rsid w:val="744045BB"/>
    <w:rsid w:val="744C4222"/>
    <w:rsid w:val="745A22D6"/>
    <w:rsid w:val="745F630A"/>
    <w:rsid w:val="74613165"/>
    <w:rsid w:val="747B2328"/>
    <w:rsid w:val="747F12CA"/>
    <w:rsid w:val="74823492"/>
    <w:rsid w:val="748550A4"/>
    <w:rsid w:val="749622FF"/>
    <w:rsid w:val="74A05812"/>
    <w:rsid w:val="74A342E9"/>
    <w:rsid w:val="74A37F2E"/>
    <w:rsid w:val="74AD5316"/>
    <w:rsid w:val="74B159F7"/>
    <w:rsid w:val="74B9142B"/>
    <w:rsid w:val="74BE4135"/>
    <w:rsid w:val="74D04C97"/>
    <w:rsid w:val="74DA7AC4"/>
    <w:rsid w:val="74DD032D"/>
    <w:rsid w:val="74F155AB"/>
    <w:rsid w:val="74F1597B"/>
    <w:rsid w:val="74F2435C"/>
    <w:rsid w:val="74F4478A"/>
    <w:rsid w:val="74F73858"/>
    <w:rsid w:val="750E479F"/>
    <w:rsid w:val="750F7A2F"/>
    <w:rsid w:val="752E1C16"/>
    <w:rsid w:val="752E2D4D"/>
    <w:rsid w:val="7538718B"/>
    <w:rsid w:val="754615C4"/>
    <w:rsid w:val="754B3175"/>
    <w:rsid w:val="7561323F"/>
    <w:rsid w:val="756B2B3E"/>
    <w:rsid w:val="757F2413"/>
    <w:rsid w:val="757F7839"/>
    <w:rsid w:val="758A255F"/>
    <w:rsid w:val="75965663"/>
    <w:rsid w:val="75A347D6"/>
    <w:rsid w:val="75AA7E6F"/>
    <w:rsid w:val="75BD7E7C"/>
    <w:rsid w:val="75C755F8"/>
    <w:rsid w:val="75CC1290"/>
    <w:rsid w:val="75CE3FBF"/>
    <w:rsid w:val="75D557D4"/>
    <w:rsid w:val="75E63395"/>
    <w:rsid w:val="75E909BE"/>
    <w:rsid w:val="75EC320F"/>
    <w:rsid w:val="75EC6BE1"/>
    <w:rsid w:val="75F678FB"/>
    <w:rsid w:val="760134D9"/>
    <w:rsid w:val="76060B52"/>
    <w:rsid w:val="76072A59"/>
    <w:rsid w:val="76085BB4"/>
    <w:rsid w:val="760A19D2"/>
    <w:rsid w:val="76186A2C"/>
    <w:rsid w:val="762179D1"/>
    <w:rsid w:val="762203AC"/>
    <w:rsid w:val="765511C8"/>
    <w:rsid w:val="765B462B"/>
    <w:rsid w:val="766B0FD9"/>
    <w:rsid w:val="766B62B6"/>
    <w:rsid w:val="766D3732"/>
    <w:rsid w:val="767B2BB9"/>
    <w:rsid w:val="76955B84"/>
    <w:rsid w:val="76AB1C47"/>
    <w:rsid w:val="76AB66B8"/>
    <w:rsid w:val="76B50CB7"/>
    <w:rsid w:val="76C14507"/>
    <w:rsid w:val="76C4094C"/>
    <w:rsid w:val="76E27910"/>
    <w:rsid w:val="76F015F7"/>
    <w:rsid w:val="76F80D05"/>
    <w:rsid w:val="76FA3878"/>
    <w:rsid w:val="76FB3DE6"/>
    <w:rsid w:val="76FD35AD"/>
    <w:rsid w:val="77094BDF"/>
    <w:rsid w:val="77111B01"/>
    <w:rsid w:val="771E2A8F"/>
    <w:rsid w:val="77203427"/>
    <w:rsid w:val="77251941"/>
    <w:rsid w:val="772C0E98"/>
    <w:rsid w:val="772C3C3C"/>
    <w:rsid w:val="772F2DA3"/>
    <w:rsid w:val="773176C8"/>
    <w:rsid w:val="77382AAE"/>
    <w:rsid w:val="774061BE"/>
    <w:rsid w:val="77452AD7"/>
    <w:rsid w:val="77496A84"/>
    <w:rsid w:val="774A15F3"/>
    <w:rsid w:val="7753742F"/>
    <w:rsid w:val="775838F3"/>
    <w:rsid w:val="7763211E"/>
    <w:rsid w:val="7769462C"/>
    <w:rsid w:val="776B0825"/>
    <w:rsid w:val="777A0472"/>
    <w:rsid w:val="77882C04"/>
    <w:rsid w:val="778A6C33"/>
    <w:rsid w:val="778B4DFF"/>
    <w:rsid w:val="778C6B93"/>
    <w:rsid w:val="779203A0"/>
    <w:rsid w:val="7799417E"/>
    <w:rsid w:val="779A2A38"/>
    <w:rsid w:val="779F1DFC"/>
    <w:rsid w:val="779F5386"/>
    <w:rsid w:val="77A5607A"/>
    <w:rsid w:val="77AC2CE3"/>
    <w:rsid w:val="77B520F5"/>
    <w:rsid w:val="77BD7CA4"/>
    <w:rsid w:val="77C34594"/>
    <w:rsid w:val="77C34920"/>
    <w:rsid w:val="77C56D4D"/>
    <w:rsid w:val="77D7339E"/>
    <w:rsid w:val="77DD1770"/>
    <w:rsid w:val="77F17064"/>
    <w:rsid w:val="78026893"/>
    <w:rsid w:val="78136F8C"/>
    <w:rsid w:val="781E0C37"/>
    <w:rsid w:val="782C4AE1"/>
    <w:rsid w:val="783863BE"/>
    <w:rsid w:val="783F5007"/>
    <w:rsid w:val="784847E6"/>
    <w:rsid w:val="78491144"/>
    <w:rsid w:val="784F3730"/>
    <w:rsid w:val="785130AB"/>
    <w:rsid w:val="785521F9"/>
    <w:rsid w:val="785D640E"/>
    <w:rsid w:val="786939F1"/>
    <w:rsid w:val="78694E3F"/>
    <w:rsid w:val="78732C75"/>
    <w:rsid w:val="78830C98"/>
    <w:rsid w:val="78866E03"/>
    <w:rsid w:val="788B25A3"/>
    <w:rsid w:val="78915481"/>
    <w:rsid w:val="78954581"/>
    <w:rsid w:val="78993BB6"/>
    <w:rsid w:val="78A90299"/>
    <w:rsid w:val="78AE64D8"/>
    <w:rsid w:val="78BA6696"/>
    <w:rsid w:val="78BA7D6D"/>
    <w:rsid w:val="78BC118C"/>
    <w:rsid w:val="78C12B81"/>
    <w:rsid w:val="78C52A1F"/>
    <w:rsid w:val="78D91316"/>
    <w:rsid w:val="78DB34E3"/>
    <w:rsid w:val="78E9337D"/>
    <w:rsid w:val="78F27A61"/>
    <w:rsid w:val="78F8584F"/>
    <w:rsid w:val="78FA57BF"/>
    <w:rsid w:val="78FF2FC3"/>
    <w:rsid w:val="790B6418"/>
    <w:rsid w:val="790D1945"/>
    <w:rsid w:val="791142A1"/>
    <w:rsid w:val="792B4AA7"/>
    <w:rsid w:val="793B0EAB"/>
    <w:rsid w:val="793E72A4"/>
    <w:rsid w:val="79474980"/>
    <w:rsid w:val="7955680A"/>
    <w:rsid w:val="795F7E56"/>
    <w:rsid w:val="796A2FD5"/>
    <w:rsid w:val="79784312"/>
    <w:rsid w:val="79885821"/>
    <w:rsid w:val="79A3483D"/>
    <w:rsid w:val="79BC18A6"/>
    <w:rsid w:val="79C677FD"/>
    <w:rsid w:val="79D41F6B"/>
    <w:rsid w:val="79D46435"/>
    <w:rsid w:val="79DE4376"/>
    <w:rsid w:val="79E12882"/>
    <w:rsid w:val="79E31F00"/>
    <w:rsid w:val="79E533D5"/>
    <w:rsid w:val="79E960AE"/>
    <w:rsid w:val="7A010B3C"/>
    <w:rsid w:val="7A0B43FB"/>
    <w:rsid w:val="7A0C6344"/>
    <w:rsid w:val="7A0D484D"/>
    <w:rsid w:val="7A0F6A82"/>
    <w:rsid w:val="7A131E1B"/>
    <w:rsid w:val="7A146AD1"/>
    <w:rsid w:val="7A1F5EA2"/>
    <w:rsid w:val="7A2340F3"/>
    <w:rsid w:val="7A261BF6"/>
    <w:rsid w:val="7A314A00"/>
    <w:rsid w:val="7A4271D5"/>
    <w:rsid w:val="7A4271D8"/>
    <w:rsid w:val="7A4F36BE"/>
    <w:rsid w:val="7A5F5873"/>
    <w:rsid w:val="7A622B64"/>
    <w:rsid w:val="7A630061"/>
    <w:rsid w:val="7A683D20"/>
    <w:rsid w:val="7A6C7F81"/>
    <w:rsid w:val="7A7F1731"/>
    <w:rsid w:val="7A895FBC"/>
    <w:rsid w:val="7A954373"/>
    <w:rsid w:val="7AAC0538"/>
    <w:rsid w:val="7AAF3F11"/>
    <w:rsid w:val="7AC21A3D"/>
    <w:rsid w:val="7AC41418"/>
    <w:rsid w:val="7ACE1685"/>
    <w:rsid w:val="7AEE7FE0"/>
    <w:rsid w:val="7AF31832"/>
    <w:rsid w:val="7AF541DF"/>
    <w:rsid w:val="7AF75C2D"/>
    <w:rsid w:val="7AFA5156"/>
    <w:rsid w:val="7B011A43"/>
    <w:rsid w:val="7B061145"/>
    <w:rsid w:val="7B0A105B"/>
    <w:rsid w:val="7B0F5208"/>
    <w:rsid w:val="7B1A7D39"/>
    <w:rsid w:val="7B255716"/>
    <w:rsid w:val="7B2E771F"/>
    <w:rsid w:val="7B3C54EB"/>
    <w:rsid w:val="7B3E5C4D"/>
    <w:rsid w:val="7B3F08C3"/>
    <w:rsid w:val="7B4A1205"/>
    <w:rsid w:val="7B53510B"/>
    <w:rsid w:val="7B563B88"/>
    <w:rsid w:val="7B5857F7"/>
    <w:rsid w:val="7B5C5BB7"/>
    <w:rsid w:val="7B60019A"/>
    <w:rsid w:val="7B6B5C44"/>
    <w:rsid w:val="7B6C0973"/>
    <w:rsid w:val="7B714CA3"/>
    <w:rsid w:val="7B781870"/>
    <w:rsid w:val="7B7C4771"/>
    <w:rsid w:val="7B7E553A"/>
    <w:rsid w:val="7B8E1ECB"/>
    <w:rsid w:val="7B97781D"/>
    <w:rsid w:val="7B996E0A"/>
    <w:rsid w:val="7B9D7D9B"/>
    <w:rsid w:val="7B9E291F"/>
    <w:rsid w:val="7BA007F2"/>
    <w:rsid w:val="7BA25C0C"/>
    <w:rsid w:val="7BA41446"/>
    <w:rsid w:val="7BAE5DCB"/>
    <w:rsid w:val="7BCB3ED0"/>
    <w:rsid w:val="7BCC5340"/>
    <w:rsid w:val="7BD60225"/>
    <w:rsid w:val="7BDB6C5E"/>
    <w:rsid w:val="7BDD293F"/>
    <w:rsid w:val="7BE83543"/>
    <w:rsid w:val="7BEE1B84"/>
    <w:rsid w:val="7BF03704"/>
    <w:rsid w:val="7BFA1F80"/>
    <w:rsid w:val="7BFC5951"/>
    <w:rsid w:val="7C114E6D"/>
    <w:rsid w:val="7C232592"/>
    <w:rsid w:val="7C313422"/>
    <w:rsid w:val="7C336D13"/>
    <w:rsid w:val="7C347C1A"/>
    <w:rsid w:val="7C384234"/>
    <w:rsid w:val="7C3A1C72"/>
    <w:rsid w:val="7C433B18"/>
    <w:rsid w:val="7C460A98"/>
    <w:rsid w:val="7C465EC6"/>
    <w:rsid w:val="7C4A04FD"/>
    <w:rsid w:val="7C6D3836"/>
    <w:rsid w:val="7C6F0135"/>
    <w:rsid w:val="7C717BEB"/>
    <w:rsid w:val="7C807DF2"/>
    <w:rsid w:val="7C816AEA"/>
    <w:rsid w:val="7C871EAD"/>
    <w:rsid w:val="7C9512E5"/>
    <w:rsid w:val="7CB91EC1"/>
    <w:rsid w:val="7CBF60E0"/>
    <w:rsid w:val="7CCD3EEA"/>
    <w:rsid w:val="7CD20200"/>
    <w:rsid w:val="7CD46CE8"/>
    <w:rsid w:val="7CDB3D72"/>
    <w:rsid w:val="7CDC21E9"/>
    <w:rsid w:val="7CF057CA"/>
    <w:rsid w:val="7CF54E2F"/>
    <w:rsid w:val="7D037E4D"/>
    <w:rsid w:val="7D0C2802"/>
    <w:rsid w:val="7D373582"/>
    <w:rsid w:val="7D38106F"/>
    <w:rsid w:val="7D3A3FCB"/>
    <w:rsid w:val="7D436CE4"/>
    <w:rsid w:val="7D501639"/>
    <w:rsid w:val="7D586B71"/>
    <w:rsid w:val="7D59712D"/>
    <w:rsid w:val="7D6929AB"/>
    <w:rsid w:val="7D716461"/>
    <w:rsid w:val="7D7315C2"/>
    <w:rsid w:val="7D8F1C37"/>
    <w:rsid w:val="7D902F02"/>
    <w:rsid w:val="7DA05052"/>
    <w:rsid w:val="7DA52F91"/>
    <w:rsid w:val="7DAA2031"/>
    <w:rsid w:val="7DB6492B"/>
    <w:rsid w:val="7DC43E3D"/>
    <w:rsid w:val="7DC46246"/>
    <w:rsid w:val="7DC640A8"/>
    <w:rsid w:val="7DD37458"/>
    <w:rsid w:val="7DD64895"/>
    <w:rsid w:val="7DD920E5"/>
    <w:rsid w:val="7DDF76AE"/>
    <w:rsid w:val="7DEB698E"/>
    <w:rsid w:val="7DF24EDA"/>
    <w:rsid w:val="7DFB1E0D"/>
    <w:rsid w:val="7DFC20D4"/>
    <w:rsid w:val="7E076B19"/>
    <w:rsid w:val="7E0D755D"/>
    <w:rsid w:val="7E130E4E"/>
    <w:rsid w:val="7E1C225F"/>
    <w:rsid w:val="7E1C6793"/>
    <w:rsid w:val="7E1E13D7"/>
    <w:rsid w:val="7E2D1D4A"/>
    <w:rsid w:val="7E4546D9"/>
    <w:rsid w:val="7E4746A1"/>
    <w:rsid w:val="7E482855"/>
    <w:rsid w:val="7E4E66EB"/>
    <w:rsid w:val="7E51400A"/>
    <w:rsid w:val="7E516415"/>
    <w:rsid w:val="7E551F90"/>
    <w:rsid w:val="7E553215"/>
    <w:rsid w:val="7E5576B9"/>
    <w:rsid w:val="7E8D6CBD"/>
    <w:rsid w:val="7E942EE5"/>
    <w:rsid w:val="7EB53214"/>
    <w:rsid w:val="7EBA3AE2"/>
    <w:rsid w:val="7EBC5784"/>
    <w:rsid w:val="7ECF222A"/>
    <w:rsid w:val="7ED05FF3"/>
    <w:rsid w:val="7ED3193E"/>
    <w:rsid w:val="7EDB7488"/>
    <w:rsid w:val="7EEE2E1E"/>
    <w:rsid w:val="7EEF61D9"/>
    <w:rsid w:val="7EF22707"/>
    <w:rsid w:val="7EFA4B57"/>
    <w:rsid w:val="7F0D2526"/>
    <w:rsid w:val="7F0D393D"/>
    <w:rsid w:val="7F1277FB"/>
    <w:rsid w:val="7F185A2F"/>
    <w:rsid w:val="7F1B2327"/>
    <w:rsid w:val="7F21223F"/>
    <w:rsid w:val="7F471B42"/>
    <w:rsid w:val="7F487DDB"/>
    <w:rsid w:val="7F5F237E"/>
    <w:rsid w:val="7F6073C9"/>
    <w:rsid w:val="7F61298D"/>
    <w:rsid w:val="7F63797B"/>
    <w:rsid w:val="7F647812"/>
    <w:rsid w:val="7F6751EB"/>
    <w:rsid w:val="7F6F519A"/>
    <w:rsid w:val="7F7A7466"/>
    <w:rsid w:val="7F7F2D4C"/>
    <w:rsid w:val="7F8C2ACE"/>
    <w:rsid w:val="7F8C7E4C"/>
    <w:rsid w:val="7F8D77FD"/>
    <w:rsid w:val="7F914429"/>
    <w:rsid w:val="7FA97969"/>
    <w:rsid w:val="7FB55060"/>
    <w:rsid w:val="7FC63880"/>
    <w:rsid w:val="7FD1781E"/>
    <w:rsid w:val="7FD352B7"/>
    <w:rsid w:val="7FDD52F8"/>
    <w:rsid w:val="7FE35F3C"/>
    <w:rsid w:val="7FE65919"/>
    <w:rsid w:val="7FE767D0"/>
    <w:rsid w:val="7FEB56A7"/>
    <w:rsid w:val="7FF151BF"/>
    <w:rsid w:val="7FF21BEA"/>
    <w:rsid w:val="7FF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3"/>
    <w:autoRedefine/>
    <w:qFormat/>
    <w:uiPriority w:val="9"/>
    <w:pPr>
      <w:keepNext/>
      <w:jc w:val="center"/>
      <w:outlineLvl w:val="0"/>
    </w:pPr>
    <w:rPr>
      <w:b/>
      <w:sz w:val="18"/>
    </w:rPr>
  </w:style>
  <w:style w:type="paragraph" w:styleId="5">
    <w:name w:val="heading 2"/>
    <w:basedOn w:val="1"/>
    <w:next w:val="1"/>
    <w:link w:val="118"/>
    <w:autoRedefine/>
    <w:qFormat/>
    <w:uiPriority w:val="0"/>
    <w:pPr>
      <w:keepNext/>
      <w:outlineLvl w:val="1"/>
    </w:pPr>
    <w:rPr>
      <w:b/>
      <w:sz w:val="18"/>
    </w:rPr>
  </w:style>
  <w:style w:type="paragraph" w:styleId="6">
    <w:name w:val="heading 3"/>
    <w:basedOn w:val="1"/>
    <w:next w:val="1"/>
    <w:link w:val="40"/>
    <w:autoRedefine/>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5"/>
    <w:autoRedefine/>
    <w:qFormat/>
    <w:uiPriority w:val="0"/>
    <w:pPr>
      <w:jc w:val="left"/>
    </w:pPr>
    <w:rPr>
      <w:bCs/>
      <w:sz w:val="18"/>
    </w:rPr>
  </w:style>
  <w:style w:type="paragraph" w:styleId="3">
    <w:name w:val="Body Text First Indent"/>
    <w:basedOn w:val="2"/>
    <w:next w:val="1"/>
    <w:autoRedefine/>
    <w:unhideWhenUsed/>
    <w:qFormat/>
    <w:uiPriority w:val="99"/>
    <w:pPr>
      <w:ind w:firstLine="420" w:firstLineChars="100"/>
    </w:pPr>
  </w:style>
  <w:style w:type="paragraph" w:styleId="8">
    <w:name w:val="Normal Indent"/>
    <w:basedOn w:val="1"/>
    <w:link w:val="67"/>
    <w:autoRedefine/>
    <w:qFormat/>
    <w:uiPriority w:val="0"/>
    <w:pPr>
      <w:ind w:firstLine="420" w:firstLineChars="200"/>
    </w:pPr>
  </w:style>
  <w:style w:type="paragraph" w:styleId="9">
    <w:name w:val="index 5"/>
    <w:basedOn w:val="1"/>
    <w:next w:val="1"/>
    <w:autoRedefine/>
    <w:qFormat/>
    <w:uiPriority w:val="0"/>
    <w:pPr>
      <w:jc w:val="center"/>
    </w:pPr>
    <w:rPr>
      <w:color w:val="FF0000"/>
    </w:r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Indent"/>
    <w:basedOn w:val="1"/>
    <w:link w:val="56"/>
    <w:autoRedefine/>
    <w:qFormat/>
    <w:uiPriority w:val="0"/>
    <w:pPr>
      <w:spacing w:line="360" w:lineRule="exact"/>
      <w:ind w:left="280" w:firstLine="560" w:firstLineChars="200"/>
    </w:pPr>
    <w:rPr>
      <w:rFonts w:ascii="仿宋_GB2312" w:eastAsia="仿宋_GB2312"/>
      <w:sz w:val="28"/>
      <w:szCs w:val="32"/>
    </w:rPr>
  </w:style>
  <w:style w:type="paragraph" w:styleId="13">
    <w:name w:val="List 2"/>
    <w:basedOn w:val="1"/>
    <w:autoRedefine/>
    <w:qFormat/>
    <w:uiPriority w:val="99"/>
    <w:pPr>
      <w:ind w:left="100" w:leftChars="200" w:hanging="200" w:hangingChars="200"/>
    </w:pPr>
  </w:style>
  <w:style w:type="paragraph" w:styleId="14">
    <w:name w:val="Plain Text"/>
    <w:basedOn w:val="1"/>
    <w:link w:val="60"/>
    <w:autoRedefine/>
    <w:qFormat/>
    <w:uiPriority w:val="0"/>
    <w:pPr>
      <w:widowControl/>
      <w:jc w:val="left"/>
    </w:pPr>
    <w:rPr>
      <w:rFonts w:ascii="宋体" w:hAnsi="Courier New"/>
      <w:kern w:val="0"/>
      <w:sz w:val="20"/>
      <w:szCs w:val="20"/>
    </w:rPr>
  </w:style>
  <w:style w:type="paragraph" w:styleId="15">
    <w:name w:val="Date"/>
    <w:basedOn w:val="1"/>
    <w:next w:val="1"/>
    <w:autoRedefine/>
    <w:qFormat/>
    <w:uiPriority w:val="0"/>
    <w:pPr>
      <w:ind w:left="100" w:leftChars="2500"/>
    </w:pPr>
  </w:style>
  <w:style w:type="paragraph" w:styleId="16">
    <w:name w:val="Body Text Indent 2"/>
    <w:basedOn w:val="1"/>
    <w:link w:val="80"/>
    <w:autoRedefine/>
    <w:qFormat/>
    <w:uiPriority w:val="0"/>
    <w:pPr>
      <w:spacing w:after="120" w:line="480" w:lineRule="auto"/>
      <w:ind w:left="420" w:leftChars="200"/>
    </w:pPr>
  </w:style>
  <w:style w:type="paragraph" w:styleId="17">
    <w:name w:val="Balloon Text"/>
    <w:basedOn w:val="1"/>
    <w:link w:val="59"/>
    <w:autoRedefine/>
    <w:qFormat/>
    <w:uiPriority w:val="0"/>
    <w:rPr>
      <w:sz w:val="18"/>
      <w:szCs w:val="18"/>
    </w:rPr>
  </w:style>
  <w:style w:type="paragraph" w:styleId="18">
    <w:name w:val="footer"/>
    <w:basedOn w:val="1"/>
    <w:link w:val="57"/>
    <w:autoRedefine/>
    <w:qFormat/>
    <w:uiPriority w:val="0"/>
    <w:pPr>
      <w:tabs>
        <w:tab w:val="center" w:pos="4153"/>
        <w:tab w:val="right" w:pos="8306"/>
      </w:tabs>
      <w:snapToGrid w:val="0"/>
      <w:jc w:val="left"/>
    </w:pPr>
    <w:rPr>
      <w:sz w:val="18"/>
      <w:szCs w:val="18"/>
    </w:rPr>
  </w:style>
  <w:style w:type="paragraph" w:styleId="19">
    <w:name w:val="header"/>
    <w:basedOn w:val="1"/>
    <w:link w:val="74"/>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Subtitle"/>
    <w:basedOn w:val="1"/>
    <w:next w:val="1"/>
    <w:autoRedefine/>
    <w:qFormat/>
    <w:uiPriority w:val="99"/>
    <w:pPr>
      <w:spacing w:before="240" w:after="60" w:line="312" w:lineRule="auto"/>
      <w:jc w:val="center"/>
      <w:outlineLvl w:val="1"/>
    </w:pPr>
    <w:rPr>
      <w:rFonts w:ascii="Cambria" w:hAnsi="Cambria" w:cs="Cambria"/>
      <w:b/>
      <w:bCs/>
      <w:kern w:val="28"/>
      <w:sz w:val="32"/>
      <w:szCs w:val="32"/>
    </w:rPr>
  </w:style>
  <w:style w:type="paragraph" w:styleId="22">
    <w:name w:val="Normal (Web)"/>
    <w:basedOn w:val="1"/>
    <w:autoRedefine/>
    <w:qFormat/>
    <w:uiPriority w:val="0"/>
    <w:pPr>
      <w:widowControl/>
      <w:spacing w:before="150" w:after="150"/>
      <w:jc w:val="left"/>
    </w:pPr>
    <w:rPr>
      <w:rFonts w:ascii="宋体" w:hAnsi="宋体" w:cs="宋体"/>
      <w:kern w:val="0"/>
      <w:sz w:val="24"/>
    </w:rPr>
  </w:style>
  <w:style w:type="paragraph" w:styleId="23">
    <w:name w:val="Body Text First Indent 2"/>
    <w:basedOn w:val="12"/>
    <w:autoRedefine/>
    <w:semiHidden/>
    <w:unhideWhenUsed/>
    <w:qFormat/>
    <w:uiPriority w:val="99"/>
    <w:pPr>
      <w:spacing w:before="100" w:beforeAutospacing="1" w:line="480" w:lineRule="exact"/>
      <w:ind w:left="0" w:leftChars="0" w:firstLine="420"/>
    </w:pPr>
    <w:rPr>
      <w:sz w:val="28"/>
      <w:szCs w:val="28"/>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autoRedefine/>
    <w:qFormat/>
    <w:uiPriority w:val="0"/>
    <w:rPr>
      <w:b/>
      <w:bCs/>
    </w:rPr>
  </w:style>
  <w:style w:type="character" w:styleId="28">
    <w:name w:val="page number"/>
    <w:basedOn w:val="26"/>
    <w:autoRedefine/>
    <w:qFormat/>
    <w:uiPriority w:val="0"/>
  </w:style>
  <w:style w:type="character" w:styleId="29">
    <w:name w:val="Emphasis"/>
    <w:autoRedefine/>
    <w:qFormat/>
    <w:uiPriority w:val="0"/>
  </w:style>
  <w:style w:type="character" w:styleId="30">
    <w:name w:val="HTML Definition"/>
    <w:autoRedefine/>
    <w:qFormat/>
    <w:uiPriority w:val="0"/>
  </w:style>
  <w:style w:type="character" w:styleId="31">
    <w:name w:val="HTML Variable"/>
    <w:autoRedefine/>
    <w:qFormat/>
    <w:uiPriority w:val="0"/>
  </w:style>
  <w:style w:type="character" w:styleId="32">
    <w:name w:val="Hyperlink"/>
    <w:autoRedefine/>
    <w:qFormat/>
    <w:uiPriority w:val="99"/>
    <w:rPr>
      <w:rFonts w:hint="default" w:ascii="ˎ̥" w:hAnsi="ˎ̥"/>
      <w:color w:val="000000"/>
      <w:sz w:val="18"/>
      <w:szCs w:val="18"/>
      <w:u w:val="none"/>
    </w:rPr>
  </w:style>
  <w:style w:type="character" w:styleId="33">
    <w:name w:val="HTML Code"/>
    <w:autoRedefine/>
    <w:qFormat/>
    <w:uiPriority w:val="0"/>
    <w:rPr>
      <w:rFonts w:ascii="Courier New" w:hAnsi="Courier New"/>
      <w:sz w:val="20"/>
    </w:rPr>
  </w:style>
  <w:style w:type="character" w:styleId="34">
    <w:name w:val="HTML Cite"/>
    <w:autoRedefine/>
    <w:qFormat/>
    <w:uiPriority w:val="0"/>
  </w:style>
  <w:style w:type="paragraph" w:customStyle="1" w:styleId="35">
    <w:name w:val="标题 5（有编号）（绿盟科技）"/>
    <w:basedOn w:val="1"/>
    <w:next w:val="36"/>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6">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37">
    <w:name w:val="一级标题 Char"/>
    <w:link w:val="38"/>
    <w:autoRedefine/>
    <w:qFormat/>
    <w:uiPriority w:val="0"/>
    <w:rPr>
      <w:rFonts w:ascii="楷体_GB2312" w:hAnsi="宋体" w:eastAsia="楷体_GB2312"/>
      <w:b/>
      <w:sz w:val="28"/>
      <w:szCs w:val="24"/>
    </w:rPr>
  </w:style>
  <w:style w:type="paragraph" w:customStyle="1" w:styleId="38">
    <w:name w:val="一级标题"/>
    <w:basedOn w:val="1"/>
    <w:link w:val="37"/>
    <w:autoRedefine/>
    <w:qFormat/>
    <w:uiPriority w:val="0"/>
    <w:pPr>
      <w:widowControl/>
      <w:spacing w:line="560" w:lineRule="exact"/>
      <w:jc w:val="left"/>
      <w:outlineLvl w:val="0"/>
    </w:pPr>
    <w:rPr>
      <w:rFonts w:ascii="楷体_GB2312" w:hAnsi="宋体" w:eastAsia="楷体_GB2312"/>
      <w:b/>
      <w:kern w:val="0"/>
      <w:sz w:val="28"/>
    </w:rPr>
  </w:style>
  <w:style w:type="character" w:customStyle="1" w:styleId="39">
    <w:name w:val="modifier"/>
    <w:autoRedefine/>
    <w:qFormat/>
    <w:uiPriority w:val="0"/>
    <w:rPr>
      <w:color w:val="FF0000"/>
    </w:rPr>
  </w:style>
  <w:style w:type="character" w:customStyle="1" w:styleId="40">
    <w:name w:val="标题 3 字符"/>
    <w:link w:val="6"/>
    <w:autoRedefine/>
    <w:qFormat/>
    <w:uiPriority w:val="0"/>
    <w:rPr>
      <w:rFonts w:ascii="Tahoma" w:hAnsi="Tahoma" w:eastAsia="微软雅黑"/>
      <w:b/>
      <w:bCs/>
      <w:sz w:val="32"/>
      <w:szCs w:val="32"/>
    </w:rPr>
  </w:style>
  <w:style w:type="character" w:customStyle="1" w:styleId="41">
    <w:name w:val="font01"/>
    <w:autoRedefine/>
    <w:qFormat/>
    <w:uiPriority w:val="0"/>
    <w:rPr>
      <w:rFonts w:hint="eastAsia" w:ascii="宋体" w:hAnsi="宋体" w:eastAsia="宋体" w:cs="宋体"/>
      <w:color w:val="FF0000"/>
      <w:sz w:val="20"/>
      <w:szCs w:val="20"/>
      <w:u w:val="none"/>
    </w:rPr>
  </w:style>
  <w:style w:type="character" w:customStyle="1" w:styleId="42">
    <w:name w:val="无间隔 字符"/>
    <w:link w:val="43"/>
    <w:autoRedefine/>
    <w:qFormat/>
    <w:uiPriority w:val="1"/>
    <w:rPr>
      <w:sz w:val="22"/>
      <w:szCs w:val="22"/>
      <w:lang w:val="en-US" w:eastAsia="zh-CN" w:bidi="ar-SA"/>
    </w:rPr>
  </w:style>
  <w:style w:type="paragraph" w:styleId="43">
    <w:name w:val="No Spacing"/>
    <w:link w:val="42"/>
    <w:autoRedefine/>
    <w:qFormat/>
    <w:uiPriority w:val="1"/>
    <w:rPr>
      <w:rFonts w:ascii="Times New Roman" w:hAnsi="Times New Roman" w:eastAsia="宋体" w:cs="Times New Roman"/>
      <w:sz w:val="22"/>
      <w:szCs w:val="22"/>
      <w:lang w:val="en-US" w:eastAsia="zh-CN" w:bidi="ar-SA"/>
    </w:rPr>
  </w:style>
  <w:style w:type="character" w:customStyle="1" w:styleId="44">
    <w:name w:val="纯文本 Char1"/>
    <w:autoRedefine/>
    <w:qFormat/>
    <w:uiPriority w:val="99"/>
    <w:rPr>
      <w:rFonts w:ascii="宋体" w:hAnsi="Courier New" w:cs="Courier New"/>
      <w:kern w:val="2"/>
      <w:sz w:val="21"/>
      <w:szCs w:val="21"/>
    </w:rPr>
  </w:style>
  <w:style w:type="character" w:customStyle="1" w:styleId="45">
    <w:name w:val="正文文本 字符"/>
    <w:link w:val="2"/>
    <w:autoRedefine/>
    <w:qFormat/>
    <w:uiPriority w:val="0"/>
    <w:rPr>
      <w:bCs/>
      <w:kern w:val="2"/>
      <w:sz w:val="18"/>
      <w:szCs w:val="24"/>
    </w:rPr>
  </w:style>
  <w:style w:type="character" w:customStyle="1" w:styleId="46">
    <w:name w:val="访问过的超链接1"/>
    <w:autoRedefine/>
    <w:qFormat/>
    <w:uiPriority w:val="0"/>
    <w:rPr>
      <w:color w:val="333333"/>
      <w:u w:val="none"/>
    </w:rPr>
  </w:style>
  <w:style w:type="character" w:customStyle="1" w:styleId="47">
    <w:name w:val="UP正文 Char Char"/>
    <w:link w:val="48"/>
    <w:autoRedefine/>
    <w:qFormat/>
    <w:uiPriority w:val="0"/>
    <w:rPr>
      <w:rFonts w:ascii="Tahoma" w:eastAsia="宋体"/>
      <w:kern w:val="2"/>
      <w:sz w:val="21"/>
      <w:lang w:bidi="ar-SA"/>
    </w:rPr>
  </w:style>
  <w:style w:type="paragraph" w:customStyle="1" w:styleId="48">
    <w:name w:val="UP正文"/>
    <w:basedOn w:val="1"/>
    <w:link w:val="47"/>
    <w:autoRedefine/>
    <w:qFormat/>
    <w:uiPriority w:val="0"/>
    <w:pPr>
      <w:spacing w:line="360" w:lineRule="auto"/>
      <w:ind w:left="420" w:leftChars="200" w:firstLine="420" w:firstLineChars="200"/>
    </w:pPr>
    <w:rPr>
      <w:rFonts w:ascii="Tahoma"/>
      <w:szCs w:val="20"/>
    </w:rPr>
  </w:style>
  <w:style w:type="character" w:customStyle="1" w:styleId="49">
    <w:name w:val="正文文本首行缩进 字符"/>
    <w:basedOn w:val="45"/>
    <w:link w:val="50"/>
    <w:autoRedefine/>
    <w:qFormat/>
    <w:uiPriority w:val="0"/>
    <w:rPr>
      <w:kern w:val="2"/>
      <w:sz w:val="18"/>
      <w:szCs w:val="24"/>
    </w:rPr>
  </w:style>
  <w:style w:type="paragraph" w:customStyle="1" w:styleId="50">
    <w:name w:val="正文文本首行缩进"/>
    <w:basedOn w:val="2"/>
    <w:link w:val="49"/>
    <w:autoRedefine/>
    <w:qFormat/>
    <w:uiPriority w:val="0"/>
    <w:pPr>
      <w:spacing w:after="120"/>
      <w:ind w:firstLine="420" w:firstLineChars="100"/>
      <w:jc w:val="both"/>
    </w:pPr>
  </w:style>
  <w:style w:type="character" w:customStyle="1" w:styleId="51">
    <w:name w:val="style111"/>
    <w:autoRedefine/>
    <w:qFormat/>
    <w:uiPriority w:val="0"/>
    <w:rPr>
      <w:sz w:val="24"/>
      <w:szCs w:val="24"/>
    </w:rPr>
  </w:style>
  <w:style w:type="character" w:customStyle="1" w:styleId="52">
    <w:name w:val="font31"/>
    <w:basedOn w:val="26"/>
    <w:autoRedefine/>
    <w:qFormat/>
    <w:uiPriority w:val="0"/>
    <w:rPr>
      <w:rFonts w:hint="eastAsia" w:ascii="宋体" w:hAnsi="宋体" w:eastAsia="宋体" w:cs="宋体"/>
      <w:color w:val="000000"/>
      <w:sz w:val="22"/>
      <w:szCs w:val="22"/>
      <w:u w:val="none"/>
    </w:rPr>
  </w:style>
  <w:style w:type="character" w:customStyle="1" w:styleId="53">
    <w:name w:val="ca-3"/>
    <w:basedOn w:val="26"/>
    <w:autoRedefine/>
    <w:qFormat/>
    <w:uiPriority w:val="0"/>
  </w:style>
  <w:style w:type="character" w:customStyle="1" w:styleId="54">
    <w:name w:val="列出段落 Char"/>
    <w:link w:val="55"/>
    <w:autoRedefine/>
    <w:qFormat/>
    <w:uiPriority w:val="0"/>
    <w:rPr>
      <w:kern w:val="2"/>
      <w:sz w:val="21"/>
      <w:szCs w:val="22"/>
    </w:rPr>
  </w:style>
  <w:style w:type="paragraph" w:customStyle="1" w:styleId="55">
    <w:name w:val="列出段落2"/>
    <w:basedOn w:val="1"/>
    <w:link w:val="54"/>
    <w:autoRedefine/>
    <w:qFormat/>
    <w:uiPriority w:val="0"/>
    <w:pPr>
      <w:ind w:firstLine="420" w:firstLineChars="200"/>
    </w:pPr>
    <w:rPr>
      <w:szCs w:val="22"/>
    </w:rPr>
  </w:style>
  <w:style w:type="character" w:customStyle="1" w:styleId="56">
    <w:name w:val="正文文本缩进 字符"/>
    <w:link w:val="12"/>
    <w:autoRedefine/>
    <w:qFormat/>
    <w:uiPriority w:val="0"/>
    <w:rPr>
      <w:rFonts w:ascii="仿宋_GB2312" w:eastAsia="仿宋_GB2312"/>
      <w:kern w:val="2"/>
      <w:sz w:val="28"/>
      <w:szCs w:val="32"/>
    </w:rPr>
  </w:style>
  <w:style w:type="character" w:customStyle="1" w:styleId="57">
    <w:name w:val="页脚 字符"/>
    <w:link w:val="18"/>
    <w:autoRedefine/>
    <w:qFormat/>
    <w:uiPriority w:val="99"/>
    <w:rPr>
      <w:kern w:val="2"/>
      <w:sz w:val="18"/>
      <w:szCs w:val="18"/>
    </w:rPr>
  </w:style>
  <w:style w:type="character" w:customStyle="1" w:styleId="58">
    <w:name w:val="正文文本缩进 字符1"/>
    <w:autoRedefine/>
    <w:semiHidden/>
    <w:qFormat/>
    <w:uiPriority w:val="99"/>
  </w:style>
  <w:style w:type="character" w:customStyle="1" w:styleId="59">
    <w:name w:val="批注框文本 字符"/>
    <w:link w:val="17"/>
    <w:autoRedefine/>
    <w:qFormat/>
    <w:uiPriority w:val="0"/>
    <w:rPr>
      <w:kern w:val="2"/>
      <w:sz w:val="18"/>
      <w:szCs w:val="18"/>
    </w:rPr>
  </w:style>
  <w:style w:type="character" w:customStyle="1" w:styleId="60">
    <w:name w:val="纯文本 字符"/>
    <w:link w:val="14"/>
    <w:autoRedefine/>
    <w:qFormat/>
    <w:uiPriority w:val="0"/>
    <w:rPr>
      <w:rFonts w:ascii="宋体" w:hAnsi="Courier New"/>
    </w:rPr>
  </w:style>
  <w:style w:type="character" w:customStyle="1" w:styleId="61">
    <w:name w:val="hei13b1"/>
    <w:autoRedefine/>
    <w:qFormat/>
    <w:uiPriority w:val="0"/>
    <w:rPr>
      <w:rFonts w:hint="default" w:ascii="Arial" w:hAnsi="Arial" w:cs="Arial"/>
      <w:b/>
      <w:bCs/>
      <w:color w:val="000000"/>
      <w:sz w:val="20"/>
      <w:szCs w:val="20"/>
    </w:rPr>
  </w:style>
  <w:style w:type="character" w:customStyle="1" w:styleId="62">
    <w:name w:val="表格文字 Char"/>
    <w:link w:val="63"/>
    <w:autoRedefine/>
    <w:qFormat/>
    <w:uiPriority w:val="0"/>
    <w:rPr>
      <w:bCs/>
      <w:spacing w:val="10"/>
      <w:kern w:val="0"/>
      <w:sz w:val="24"/>
      <w:szCs w:val="20"/>
    </w:rPr>
  </w:style>
  <w:style w:type="paragraph" w:customStyle="1" w:styleId="63">
    <w:name w:val="表格文字"/>
    <w:basedOn w:val="1"/>
    <w:link w:val="62"/>
    <w:autoRedefine/>
    <w:qFormat/>
    <w:uiPriority w:val="0"/>
    <w:pPr>
      <w:spacing w:before="25" w:after="25"/>
      <w:jc w:val="left"/>
    </w:pPr>
    <w:rPr>
      <w:bCs/>
      <w:spacing w:val="10"/>
      <w:kern w:val="0"/>
      <w:sz w:val="24"/>
      <w:szCs w:val="20"/>
    </w:rPr>
  </w:style>
  <w:style w:type="character" w:customStyle="1" w:styleId="64">
    <w:name w:val="label"/>
    <w:autoRedefine/>
    <w:qFormat/>
    <w:uiPriority w:val="0"/>
    <w:rPr>
      <w:color w:val="555555"/>
    </w:rPr>
  </w:style>
  <w:style w:type="character" w:customStyle="1" w:styleId="65">
    <w:name w:val="font11"/>
    <w:basedOn w:val="26"/>
    <w:autoRedefine/>
    <w:qFormat/>
    <w:uiPriority w:val="0"/>
    <w:rPr>
      <w:rFonts w:hint="default" w:ascii="Times New Roman" w:hAnsi="Times New Roman" w:cs="Times New Roman"/>
      <w:color w:val="000000"/>
      <w:sz w:val="20"/>
      <w:szCs w:val="20"/>
      <w:u w:val="none"/>
    </w:rPr>
  </w:style>
  <w:style w:type="character" w:customStyle="1" w:styleId="66">
    <w:name w:val="font21"/>
    <w:autoRedefine/>
    <w:qFormat/>
    <w:uiPriority w:val="0"/>
    <w:rPr>
      <w:rFonts w:hint="eastAsia" w:ascii="宋体" w:hAnsi="宋体" w:eastAsia="宋体" w:cs="宋体"/>
      <w:color w:val="000000"/>
      <w:sz w:val="20"/>
      <w:szCs w:val="20"/>
      <w:u w:val="none"/>
    </w:rPr>
  </w:style>
  <w:style w:type="character" w:customStyle="1" w:styleId="67">
    <w:name w:val="正文缩进 字符"/>
    <w:link w:val="8"/>
    <w:autoRedefine/>
    <w:qFormat/>
    <w:uiPriority w:val="0"/>
    <w:rPr>
      <w:rFonts w:eastAsia="宋体"/>
      <w:kern w:val="2"/>
      <w:sz w:val="21"/>
      <w:szCs w:val="24"/>
      <w:lang w:val="en-US" w:eastAsia="zh-CN" w:bidi="ar-SA"/>
    </w:rPr>
  </w:style>
  <w:style w:type="character" w:customStyle="1" w:styleId="68">
    <w:name w:val="ca-1"/>
    <w:basedOn w:val="26"/>
    <w:autoRedefine/>
    <w:qFormat/>
    <w:uiPriority w:val="0"/>
  </w:style>
  <w:style w:type="character" w:customStyle="1" w:styleId="69">
    <w:name w:val="apple-converted-space"/>
    <w:basedOn w:val="26"/>
    <w:autoRedefine/>
    <w:qFormat/>
    <w:uiPriority w:val="0"/>
  </w:style>
  <w:style w:type="character" w:customStyle="1" w:styleId="70">
    <w:name w:val="UP标题3 Char Char"/>
    <w:link w:val="71"/>
    <w:autoRedefine/>
    <w:qFormat/>
    <w:uiPriority w:val="0"/>
    <w:rPr>
      <w:rFonts w:ascii="黑体" w:eastAsia="黑体"/>
      <w:kern w:val="2"/>
      <w:sz w:val="28"/>
      <w:szCs w:val="28"/>
      <w:lang w:bidi="ar-SA"/>
    </w:rPr>
  </w:style>
  <w:style w:type="paragraph" w:customStyle="1" w:styleId="71">
    <w:name w:val="UP标题3"/>
    <w:basedOn w:val="1"/>
    <w:link w:val="70"/>
    <w:autoRedefine/>
    <w:qFormat/>
    <w:uiPriority w:val="0"/>
    <w:pPr>
      <w:spacing w:line="360" w:lineRule="auto"/>
      <w:ind w:firstLine="149" w:firstLineChars="149"/>
    </w:pPr>
    <w:rPr>
      <w:rFonts w:ascii="黑体" w:eastAsia="黑体"/>
      <w:sz w:val="28"/>
      <w:szCs w:val="28"/>
    </w:rPr>
  </w:style>
  <w:style w:type="character" w:customStyle="1" w:styleId="72">
    <w:name w:val="article1"/>
    <w:autoRedefine/>
    <w:qFormat/>
    <w:uiPriority w:val="0"/>
    <w:rPr>
      <w:sz w:val="21"/>
      <w:szCs w:val="21"/>
    </w:rPr>
  </w:style>
  <w:style w:type="character" w:customStyle="1" w:styleId="73">
    <w:name w:val="标题 1 字符"/>
    <w:link w:val="4"/>
    <w:autoRedefine/>
    <w:qFormat/>
    <w:uiPriority w:val="9"/>
    <w:rPr>
      <w:rFonts w:eastAsia="宋体"/>
      <w:b/>
      <w:kern w:val="2"/>
      <w:sz w:val="18"/>
      <w:szCs w:val="24"/>
      <w:lang w:val="en-US" w:eastAsia="zh-CN" w:bidi="ar-SA"/>
    </w:rPr>
  </w:style>
  <w:style w:type="character" w:customStyle="1" w:styleId="74">
    <w:name w:val="页眉 字符"/>
    <w:link w:val="19"/>
    <w:autoRedefine/>
    <w:qFormat/>
    <w:uiPriority w:val="99"/>
    <w:rPr>
      <w:kern w:val="2"/>
      <w:sz w:val="18"/>
      <w:szCs w:val="18"/>
    </w:rPr>
  </w:style>
  <w:style w:type="character" w:customStyle="1" w:styleId="75">
    <w:name w:val="ca-4"/>
    <w:basedOn w:val="26"/>
    <w:autoRedefine/>
    <w:qFormat/>
    <w:uiPriority w:val="0"/>
  </w:style>
  <w:style w:type="character" w:customStyle="1" w:styleId="76">
    <w:name w:val="apple-style-span"/>
    <w:basedOn w:val="26"/>
    <w:autoRedefine/>
    <w:qFormat/>
    <w:uiPriority w:val="0"/>
  </w:style>
  <w:style w:type="character" w:customStyle="1" w:styleId="77">
    <w:name w:val="mark12"/>
    <w:basedOn w:val="26"/>
    <w:autoRedefine/>
    <w:qFormat/>
    <w:uiPriority w:val="0"/>
  </w:style>
  <w:style w:type="character" w:customStyle="1" w:styleId="78">
    <w:name w:val="标题 2 字符"/>
    <w:link w:val="5"/>
    <w:autoRedefine/>
    <w:qFormat/>
    <w:uiPriority w:val="0"/>
    <w:rPr>
      <w:b/>
      <w:kern w:val="2"/>
      <w:sz w:val="18"/>
      <w:szCs w:val="24"/>
    </w:rPr>
  </w:style>
  <w:style w:type="character" w:customStyle="1" w:styleId="79">
    <w:name w:val="ca-2"/>
    <w:basedOn w:val="26"/>
    <w:autoRedefine/>
    <w:qFormat/>
    <w:uiPriority w:val="0"/>
  </w:style>
  <w:style w:type="character" w:customStyle="1" w:styleId="80">
    <w:name w:val="正文文本缩进 2 字符"/>
    <w:link w:val="16"/>
    <w:autoRedefine/>
    <w:qFormat/>
    <w:uiPriority w:val="0"/>
    <w:rPr>
      <w:kern w:val="2"/>
      <w:sz w:val="21"/>
      <w:szCs w:val="24"/>
    </w:rPr>
  </w:style>
  <w:style w:type="paragraph" w:customStyle="1" w:styleId="81">
    <w:name w:val="纯文本1"/>
    <w:basedOn w:val="1"/>
    <w:autoRedefine/>
    <w:qFormat/>
    <w:uiPriority w:val="0"/>
    <w:rPr>
      <w:rFonts w:ascii="宋体" w:hAnsi="Courier New"/>
      <w:szCs w:val="21"/>
    </w:rPr>
  </w:style>
  <w:style w:type="paragraph" w:customStyle="1" w:styleId="82">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正文2"/>
    <w:autoRedefine/>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4">
    <w:name w:val="列出段落1"/>
    <w:basedOn w:val="1"/>
    <w:autoRedefine/>
    <w:unhideWhenUsed/>
    <w:qFormat/>
    <w:uiPriority w:val="99"/>
    <w:pPr>
      <w:ind w:firstLine="420" w:firstLineChars="200"/>
    </w:pPr>
    <w:rPr>
      <w:rFonts w:ascii="宋体" w:hAnsi="Calibri"/>
      <w:kern w:val="0"/>
      <w:sz w:val="34"/>
      <w:szCs w:val="22"/>
    </w:rPr>
  </w:style>
  <w:style w:type="paragraph" w:customStyle="1" w:styleId="85">
    <w:name w:val="附件正文"/>
    <w:basedOn w:val="1"/>
    <w:autoRedefine/>
    <w:qFormat/>
    <w:uiPriority w:val="0"/>
    <w:pPr>
      <w:snapToGrid w:val="0"/>
      <w:spacing w:line="260" w:lineRule="exact"/>
      <w:jc w:val="center"/>
    </w:pPr>
    <w:rPr>
      <w:rFonts w:ascii="华文仿宋" w:hAnsi="华文仿宋" w:eastAsia="华文仿宋"/>
      <w:b/>
      <w:kern w:val="0"/>
      <w:szCs w:val="21"/>
    </w:rPr>
  </w:style>
  <w:style w:type="paragraph" w:customStyle="1" w:styleId="86">
    <w:name w:val="Char1"/>
    <w:basedOn w:val="1"/>
    <w:autoRedefine/>
    <w:qFormat/>
    <w:uiPriority w:val="0"/>
    <w:pPr>
      <w:ind w:left="359" w:leftChars="171" w:firstLine="560" w:firstLineChars="200"/>
    </w:pPr>
  </w:style>
  <w:style w:type="paragraph" w:customStyle="1" w:styleId="87">
    <w:name w:val="正文首行缩进两字符"/>
    <w:basedOn w:val="1"/>
    <w:autoRedefine/>
    <w:qFormat/>
    <w:uiPriority w:val="0"/>
    <w:pPr>
      <w:spacing w:line="360" w:lineRule="auto"/>
      <w:ind w:firstLine="200" w:firstLineChars="200"/>
    </w:pPr>
    <w:rPr>
      <w:rFonts w:ascii="宋体" w:hAnsi="Calibri"/>
      <w:kern w:val="0"/>
      <w:sz w:val="34"/>
      <w:szCs w:val="22"/>
    </w:rPr>
  </w:style>
  <w:style w:type="paragraph" w:customStyle="1" w:styleId="88">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9">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0">
    <w:name w:val="_Style 3"/>
    <w:basedOn w:val="1"/>
    <w:autoRedefine/>
    <w:qFormat/>
    <w:uiPriority w:val="34"/>
    <w:pPr>
      <w:ind w:firstLine="420" w:firstLineChars="200"/>
    </w:pPr>
    <w:rPr>
      <w:rFonts w:ascii="Calibri" w:hAnsi="Calibri"/>
      <w:kern w:val="0"/>
      <w:sz w:val="34"/>
    </w:rPr>
  </w:style>
  <w:style w:type="paragraph" w:customStyle="1" w:styleId="91">
    <w:name w:val="00C2FCAA2DF749E1AD1DF710F7BE298E"/>
    <w:autoRedefin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2">
    <w:name w:val="目录 11"/>
    <w:basedOn w:val="1"/>
    <w:next w:val="1"/>
    <w:autoRedefine/>
    <w:qFormat/>
    <w:uiPriority w:val="39"/>
    <w:rPr>
      <w:rFonts w:ascii="宋体" w:hAnsi="Calibri"/>
      <w:kern w:val="0"/>
      <w:sz w:val="34"/>
      <w:szCs w:val="22"/>
    </w:rPr>
  </w:style>
  <w:style w:type="paragraph" w:customStyle="1" w:styleId="93">
    <w:name w:val="pa-3"/>
    <w:basedOn w:val="1"/>
    <w:autoRedefine/>
    <w:qFormat/>
    <w:uiPriority w:val="0"/>
    <w:pPr>
      <w:widowControl/>
      <w:spacing w:before="150" w:after="150"/>
      <w:jc w:val="left"/>
    </w:pPr>
    <w:rPr>
      <w:rFonts w:ascii="宋体" w:hAnsi="宋体" w:cs="宋体"/>
      <w:kern w:val="0"/>
      <w:sz w:val="24"/>
    </w:rPr>
  </w:style>
  <w:style w:type="paragraph" w:customStyle="1" w:styleId="94">
    <w:name w:val="p17"/>
    <w:basedOn w:val="1"/>
    <w:autoRedefine/>
    <w:qFormat/>
    <w:uiPriority w:val="0"/>
    <w:pPr>
      <w:widowControl/>
    </w:pPr>
    <w:rPr>
      <w:rFonts w:ascii="宋体" w:hAnsi="宋体" w:cs="宋体"/>
      <w:kern w:val="0"/>
      <w:szCs w:val="21"/>
    </w:rPr>
  </w:style>
  <w:style w:type="paragraph" w:customStyle="1" w:styleId="95">
    <w:name w:val="pa-2"/>
    <w:basedOn w:val="1"/>
    <w:autoRedefine/>
    <w:qFormat/>
    <w:uiPriority w:val="0"/>
    <w:pPr>
      <w:widowControl/>
      <w:spacing w:before="150" w:after="150"/>
      <w:jc w:val="left"/>
    </w:pPr>
    <w:rPr>
      <w:rFonts w:ascii="宋体" w:hAnsi="宋体" w:cs="宋体"/>
      <w:kern w:val="0"/>
      <w:sz w:val="24"/>
    </w:rPr>
  </w:style>
  <w:style w:type="paragraph" w:customStyle="1" w:styleId="96">
    <w:name w:val="样式 首行缩进:  2 字符"/>
    <w:basedOn w:val="1"/>
    <w:autoRedefine/>
    <w:qFormat/>
    <w:uiPriority w:val="0"/>
    <w:pPr>
      <w:spacing w:line="400" w:lineRule="exact"/>
      <w:ind w:firstLine="200" w:firstLineChars="200"/>
    </w:pPr>
    <w:rPr>
      <w:rFonts w:cs="宋体"/>
      <w:sz w:val="24"/>
    </w:rPr>
  </w:style>
  <w:style w:type="paragraph" w:customStyle="1" w:styleId="97">
    <w:name w:val="表格"/>
    <w:basedOn w:val="1"/>
    <w:autoRedefine/>
    <w:qFormat/>
    <w:uiPriority w:val="0"/>
    <w:pPr>
      <w:spacing w:line="400" w:lineRule="exact"/>
    </w:pPr>
    <w:rPr>
      <w:rFonts w:ascii="宋体" w:hAnsi="Calibri"/>
      <w:kern w:val="0"/>
      <w:sz w:val="24"/>
      <w:szCs w:val="22"/>
    </w:rPr>
  </w:style>
  <w:style w:type="paragraph" w:customStyle="1" w:styleId="98">
    <w:name w:val="pa-4"/>
    <w:basedOn w:val="1"/>
    <w:autoRedefine/>
    <w:qFormat/>
    <w:uiPriority w:val="0"/>
    <w:pPr>
      <w:widowControl/>
      <w:spacing w:before="150" w:after="150"/>
      <w:jc w:val="left"/>
    </w:pPr>
    <w:rPr>
      <w:rFonts w:ascii="宋体" w:hAnsi="宋体" w:cs="宋体"/>
      <w:kern w:val="0"/>
      <w:sz w:val="24"/>
    </w:rPr>
  </w:style>
  <w:style w:type="paragraph" w:customStyle="1" w:styleId="99">
    <w:name w:val="列表段落"/>
    <w:basedOn w:val="1"/>
    <w:autoRedefine/>
    <w:qFormat/>
    <w:uiPriority w:val="0"/>
    <w:pPr>
      <w:ind w:firstLine="420" w:firstLineChars="200"/>
    </w:pPr>
  </w:style>
  <w:style w:type="paragraph" w:customStyle="1" w:styleId="100">
    <w:name w:val="p15"/>
    <w:basedOn w:val="1"/>
    <w:autoRedefine/>
    <w:qFormat/>
    <w:uiPriority w:val="0"/>
    <w:pPr>
      <w:widowControl/>
      <w:spacing w:before="100" w:after="100" w:line="360" w:lineRule="auto"/>
    </w:pPr>
    <w:rPr>
      <w:rFonts w:ascii="宋体" w:hAnsi="宋体" w:cs="宋体"/>
      <w:kern w:val="0"/>
      <w:sz w:val="24"/>
    </w:rPr>
  </w:style>
  <w:style w:type="paragraph" w:customStyle="1" w:styleId="101">
    <w:name w:val="Char"/>
    <w:basedOn w:val="1"/>
    <w:autoRedefine/>
    <w:qFormat/>
    <w:uiPriority w:val="0"/>
    <w:pPr>
      <w:spacing w:line="240" w:lineRule="atLeast"/>
      <w:ind w:left="420" w:firstLine="420"/>
    </w:pPr>
  </w:style>
  <w:style w:type="paragraph" w:customStyle="1" w:styleId="102">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3">
    <w:name w:val="Table Paragraph"/>
    <w:basedOn w:val="1"/>
    <w:autoRedefine/>
    <w:qFormat/>
    <w:uiPriority w:val="1"/>
    <w:rPr>
      <w:rFonts w:ascii="Noto Sans CJK JP Regular" w:hAnsi="Noto Sans CJK JP Regular" w:eastAsia="Noto Sans CJK JP Regular" w:cs="Noto Sans CJK JP Regular"/>
    </w:rPr>
  </w:style>
  <w:style w:type="paragraph" w:customStyle="1" w:styleId="104">
    <w:name w:val="Char Char Char Char"/>
    <w:basedOn w:val="10"/>
    <w:autoRedefine/>
    <w:qFormat/>
    <w:uiPriority w:val="0"/>
    <w:pPr>
      <w:adjustRightInd w:val="0"/>
      <w:snapToGrid w:val="0"/>
      <w:spacing w:line="360" w:lineRule="auto"/>
    </w:pPr>
    <w:rPr>
      <w:rFonts w:ascii="仿宋_GB2312" w:eastAsia="仿宋_GB2312"/>
      <w:sz w:val="24"/>
    </w:rPr>
  </w:style>
  <w:style w:type="paragraph" w:customStyle="1" w:styleId="105">
    <w:name w:val="_Style 1"/>
    <w:basedOn w:val="1"/>
    <w:autoRedefine/>
    <w:qFormat/>
    <w:uiPriority w:val="0"/>
    <w:pPr>
      <w:ind w:firstLine="420" w:firstLineChars="200"/>
    </w:pPr>
    <w:rPr>
      <w:sz w:val="18"/>
      <w:szCs w:val="18"/>
    </w:rPr>
  </w:style>
  <w:style w:type="paragraph" w:customStyle="1" w:styleId="106">
    <w:name w:val="p0"/>
    <w:basedOn w:val="1"/>
    <w:autoRedefine/>
    <w:qFormat/>
    <w:uiPriority w:val="0"/>
    <w:pPr>
      <w:widowControl/>
    </w:pPr>
    <w:rPr>
      <w:rFonts w:ascii="Calibri" w:hAnsi="Calibri" w:cs="宋体"/>
      <w:kern w:val="0"/>
      <w:szCs w:val="21"/>
    </w:rPr>
  </w:style>
  <w:style w:type="paragraph" w:customStyle="1" w:styleId="107">
    <w:name w:val="pa-6"/>
    <w:basedOn w:val="1"/>
    <w:autoRedefine/>
    <w:qFormat/>
    <w:uiPriority w:val="0"/>
    <w:pPr>
      <w:widowControl/>
      <w:spacing w:before="150" w:after="150"/>
      <w:jc w:val="left"/>
    </w:pPr>
    <w:rPr>
      <w:rFonts w:ascii="宋体" w:hAnsi="宋体" w:cs="宋体"/>
      <w:kern w:val="0"/>
      <w:sz w:val="24"/>
    </w:rPr>
  </w:style>
  <w:style w:type="paragraph" w:customStyle="1" w:styleId="108">
    <w:name w:val="_正文段落"/>
    <w:basedOn w:val="1"/>
    <w:autoRedefine/>
    <w:qFormat/>
    <w:uiPriority w:val="0"/>
    <w:pPr>
      <w:spacing w:line="360" w:lineRule="auto"/>
    </w:pPr>
    <w:rPr>
      <w:rFonts w:ascii="宋体" w:eastAsia="仿宋_GB2312"/>
      <w:kern w:val="0"/>
      <w:sz w:val="28"/>
    </w:rPr>
  </w:style>
  <w:style w:type="paragraph" w:customStyle="1" w:styleId="109">
    <w:name w:val="pa-1"/>
    <w:basedOn w:val="1"/>
    <w:autoRedefine/>
    <w:qFormat/>
    <w:uiPriority w:val="0"/>
    <w:pPr>
      <w:widowControl/>
      <w:spacing w:before="150" w:after="150"/>
      <w:jc w:val="left"/>
    </w:pPr>
    <w:rPr>
      <w:rFonts w:ascii="宋体" w:hAnsi="宋体" w:cs="宋体"/>
      <w:kern w:val="0"/>
      <w:sz w:val="24"/>
    </w:rPr>
  </w:style>
  <w:style w:type="paragraph" w:customStyle="1" w:styleId="110">
    <w:name w:val="pa-0"/>
    <w:basedOn w:val="1"/>
    <w:autoRedefine/>
    <w:qFormat/>
    <w:uiPriority w:val="0"/>
    <w:pPr>
      <w:widowControl/>
      <w:spacing w:before="150" w:after="150"/>
      <w:jc w:val="left"/>
    </w:pPr>
    <w:rPr>
      <w:rFonts w:ascii="宋体" w:hAnsi="宋体" w:cs="宋体"/>
      <w:kern w:val="0"/>
      <w:sz w:val="24"/>
    </w:rPr>
  </w:style>
  <w:style w:type="paragraph" w:customStyle="1" w:styleId="111">
    <w:name w:val="列出段落3"/>
    <w:basedOn w:val="1"/>
    <w:autoRedefine/>
    <w:qFormat/>
    <w:uiPriority w:val="99"/>
    <w:pPr>
      <w:ind w:firstLine="420" w:firstLineChars="200"/>
    </w:pPr>
  </w:style>
  <w:style w:type="paragraph" w:customStyle="1" w:styleId="112">
    <w:name w:val="列出段落4"/>
    <w:basedOn w:val="1"/>
    <w:autoRedefine/>
    <w:qFormat/>
    <w:uiPriority w:val="99"/>
    <w:pPr>
      <w:ind w:firstLine="420" w:firstLineChars="200"/>
    </w:pPr>
  </w:style>
  <w:style w:type="paragraph" w:customStyle="1" w:styleId="113">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4">
    <w:name w:val="font41"/>
    <w:basedOn w:val="26"/>
    <w:autoRedefine/>
    <w:qFormat/>
    <w:uiPriority w:val="0"/>
    <w:rPr>
      <w:rFonts w:hint="default" w:ascii="Arial" w:hAnsi="Arial" w:cs="Arial"/>
      <w:color w:val="000000"/>
      <w:sz w:val="18"/>
      <w:szCs w:val="18"/>
      <w:u w:val="none"/>
    </w:rPr>
  </w:style>
  <w:style w:type="character" w:customStyle="1" w:styleId="115">
    <w:name w:val="font51"/>
    <w:basedOn w:val="26"/>
    <w:autoRedefine/>
    <w:qFormat/>
    <w:uiPriority w:val="0"/>
    <w:rPr>
      <w:rFonts w:hint="eastAsia" w:ascii="宋体" w:hAnsi="宋体" w:eastAsia="宋体" w:cs="宋体"/>
      <w:color w:val="000000"/>
      <w:sz w:val="20"/>
      <w:szCs w:val="20"/>
      <w:u w:val="none"/>
    </w:rPr>
  </w:style>
  <w:style w:type="paragraph" w:customStyle="1" w:styleId="116">
    <w:name w:val="CD正文"/>
    <w:basedOn w:val="1"/>
    <w:autoRedefine/>
    <w:qFormat/>
    <w:uiPriority w:val="0"/>
    <w:pPr>
      <w:spacing w:line="360" w:lineRule="auto"/>
      <w:ind w:firstLine="493"/>
    </w:pPr>
    <w:rPr>
      <w:sz w:val="30"/>
      <w:szCs w:val="30"/>
    </w:rPr>
  </w:style>
  <w:style w:type="paragraph" w:customStyle="1" w:styleId="117">
    <w:name w:val="List Paragraph"/>
    <w:basedOn w:val="1"/>
    <w:autoRedefine/>
    <w:qFormat/>
    <w:uiPriority w:val="99"/>
    <w:pPr>
      <w:ind w:firstLine="420" w:firstLineChars="200"/>
    </w:pPr>
  </w:style>
  <w:style w:type="character" w:customStyle="1" w:styleId="118">
    <w:name w:val="标题 2 Char"/>
    <w:link w:val="5"/>
    <w:autoRedefine/>
    <w:qFormat/>
    <w:uiPriority w:val="0"/>
    <w:rPr>
      <w:rFonts w:ascii="Calibri" w:hAnsi="Calibri" w:eastAsia="仿宋"/>
      <w:b/>
      <w:sz w:val="24"/>
    </w:rPr>
  </w:style>
  <w:style w:type="paragraph" w:customStyle="1" w:styleId="119">
    <w:name w:val="Body text|1"/>
    <w:basedOn w:val="1"/>
    <w:autoRedefine/>
    <w:qFormat/>
    <w:uiPriority w:val="0"/>
    <w:pPr>
      <w:widowControl w:val="0"/>
      <w:shd w:val="clear" w:color="auto" w:fill="auto"/>
      <w:spacing w:line="413" w:lineRule="auto"/>
      <w:ind w:firstLine="100"/>
    </w:pPr>
    <w:rPr>
      <w:rFonts w:ascii="MingLiU" w:hAnsi="MingLiU" w:eastAsia="MingLiU" w:cs="MingLiU"/>
      <w:sz w:val="20"/>
      <w:szCs w:val="20"/>
      <w:u w:val="none"/>
      <w:shd w:val="clear" w:color="auto" w:fill="auto"/>
      <w:lang w:val="zh-TW" w:eastAsia="zh-TW" w:bidi="zh-TW"/>
    </w:rPr>
  </w:style>
  <w:style w:type="paragraph" w:customStyle="1" w:styleId="120">
    <w:name w:val="_Style 6"/>
    <w:basedOn w:val="4"/>
    <w:next w:val="1"/>
    <w:autoRedefine/>
    <w:qFormat/>
    <w:uiPriority w:val="0"/>
    <w:pPr>
      <w:outlineLvl w:val="9"/>
    </w:pPr>
  </w:style>
  <w:style w:type="paragraph" w:customStyle="1" w:styleId="121">
    <w:name w:val="WPSOffice手动目录 1"/>
    <w:autoRedefine/>
    <w:qFormat/>
    <w:uiPriority w:val="0"/>
    <w:pPr>
      <w:ind w:leftChars="0"/>
    </w:pPr>
    <w:rPr>
      <w:rFonts w:ascii="Times New Roman" w:hAnsi="Times New Roman" w:eastAsia="宋体" w:cs="Times New Roman"/>
      <w:sz w:val="20"/>
      <w:szCs w:val="20"/>
    </w:rPr>
  </w:style>
  <w:style w:type="paragraph" w:customStyle="1" w:styleId="122">
    <w:name w:val="Table Text"/>
    <w:basedOn w:val="1"/>
    <w:semiHidden/>
    <w:qFormat/>
    <w:uiPriority w:val="0"/>
    <w:rPr>
      <w:rFonts w:ascii="微软雅黑" w:hAnsi="微软雅黑" w:eastAsia="微软雅黑" w:cs="微软雅黑"/>
      <w:sz w:val="16"/>
      <w:szCs w:val="16"/>
      <w:lang w:val="en-US" w:eastAsia="en-US" w:bidi="ar-SA"/>
    </w:rPr>
  </w:style>
  <w:style w:type="table" w:customStyle="1" w:styleId="123">
    <w:name w:val="Table Normal"/>
    <w:semiHidden/>
    <w:unhideWhenUsed/>
    <w:qFormat/>
    <w:uiPriority w:val="0"/>
    <w:tblPr>
      <w:tblCellMar>
        <w:top w:w="0" w:type="dxa"/>
        <w:left w:w="0" w:type="dxa"/>
        <w:bottom w:w="0" w:type="dxa"/>
        <w:right w:w="0" w:type="dxa"/>
      </w:tblCellMar>
    </w:tblPr>
  </w:style>
  <w:style w:type="paragraph" w:customStyle="1" w:styleId="124">
    <w:name w:val="null3"/>
    <w:autoRedefine/>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65</Pages>
  <Words>14691</Words>
  <Characters>15486</Characters>
  <Lines>259</Lines>
  <Paragraphs>73</Paragraphs>
  <TotalTime>0</TotalTime>
  <ScaleCrop>false</ScaleCrop>
  <LinksUpToDate>false</LinksUpToDate>
  <CharactersWithSpaces>15623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2019-11-27T06:26:00Z</dcterms:created>
  <dc:creator>88999</dc:creator>
  <cp:lastModifiedBy>久润招标</cp:lastModifiedBy>
  <cp:lastPrinted>2021-04-13T01:58:00Z</cp:lastPrinted>
  <dcterms:modified xsi:type="dcterms:W3CDTF">2025-03-28T08:50:19Z</dcterms:modified>
  <dc:subject>货物询价采购文件</dc:subject>
  <dc:title>7788</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F9F1B5B4B87845578ACE19561A7718E5_13</vt:lpwstr>
  </property>
  <property fmtid="{D5CDD505-2E9C-101B-9397-08002B2CF9AE}" pid="4" name="commondata">
    <vt:lpwstr>eyJoZGlkIjoiZTQzNzAzM2IxNGM3MzA4OWQ3ZmVmZWJmY2FkNTE0Y2YifQ==</vt:lpwstr>
  </property>
  <property fmtid="{D5CDD505-2E9C-101B-9397-08002B2CF9AE}" pid="5" name="KSOTemplateDocerSaveRecord">
    <vt:lpwstr>eyJoZGlkIjoiZTI5YmI2N2MzYjg1MmZhMmM4MzQ1ZWFmODdlM2Y5MTYiLCJ1c2VySWQiOiI2MjM0MTg1MDQifQ==</vt:lpwstr>
  </property>
</Properties>
</file>