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C23D5">
      <w:pPr>
        <w:pStyle w:val="34"/>
        <w:spacing w:before="46" w:after="46"/>
        <w:ind w:firstLine="0" w:firstLineChars="0"/>
        <w:jc w:val="center"/>
        <w:rPr>
          <w:rFonts w:hint="eastAsia" w:ascii="仿宋" w:hAnsi="仿宋" w:eastAsia="仿宋" w:cs="仿宋"/>
          <w:b/>
          <w:sz w:val="36"/>
          <w:szCs w:val="36"/>
          <w:highlight w:val="none"/>
          <w:lang w:val="zh-CN"/>
        </w:rPr>
      </w:pPr>
      <w:bookmarkStart w:id="0" w:name="_Hlt101233737"/>
      <w:bookmarkEnd w:id="0"/>
      <w:bookmarkStart w:id="1" w:name="_Hlt101843627"/>
      <w:bookmarkEnd w:id="1"/>
    </w:p>
    <w:p w14:paraId="44A18455">
      <w:pPr>
        <w:pStyle w:val="34"/>
        <w:spacing w:before="46" w:after="46"/>
        <w:ind w:firstLine="0" w:firstLineChars="0"/>
        <w:jc w:val="center"/>
        <w:rPr>
          <w:rFonts w:hint="default" w:ascii="仿宋" w:hAnsi="仿宋" w:eastAsia="仿宋" w:cs="仿宋"/>
          <w:b/>
          <w:sz w:val="36"/>
          <w:szCs w:val="36"/>
          <w:highlight w:val="none"/>
          <w:lang w:val="en-US" w:eastAsia="zh-CN"/>
        </w:rPr>
      </w:pPr>
      <w:r>
        <w:rPr>
          <w:rFonts w:hint="eastAsia" w:ascii="仿宋" w:hAnsi="仿宋" w:eastAsia="仿宋" w:cs="仿宋"/>
          <w:b/>
          <w:sz w:val="36"/>
          <w:szCs w:val="36"/>
          <w:highlight w:val="none"/>
          <w:lang w:val="zh-CN"/>
        </w:rPr>
        <w:t>项目编号：SCZC-20250226</w:t>
      </w:r>
    </w:p>
    <w:p w14:paraId="1C6A69CA">
      <w:pPr>
        <w:pStyle w:val="34"/>
        <w:spacing w:before="46" w:after="46"/>
        <w:ind w:left="2409" w:hanging="2409" w:hangingChars="500"/>
        <w:jc w:val="center"/>
        <w:rPr>
          <w:rFonts w:hint="eastAsia" w:ascii="仿宋" w:hAnsi="仿宋" w:eastAsia="仿宋" w:cs="仿宋"/>
          <w:b/>
          <w:bCs/>
          <w:sz w:val="48"/>
          <w:szCs w:val="48"/>
          <w:highlight w:val="none"/>
          <w:lang w:bidi="ar"/>
        </w:rPr>
      </w:pPr>
    </w:p>
    <w:p w14:paraId="21DC9678">
      <w:pPr>
        <w:pStyle w:val="34"/>
        <w:spacing w:before="46" w:after="46"/>
        <w:ind w:firstLine="0" w:firstLineChars="0"/>
        <w:jc w:val="center"/>
        <w:rPr>
          <w:rFonts w:hint="eastAsia" w:ascii="仿宋" w:hAnsi="仿宋" w:eastAsia="仿宋" w:cs="仿宋"/>
          <w:b/>
          <w:bCs/>
          <w:sz w:val="72"/>
          <w:szCs w:val="72"/>
          <w:highlight w:val="none"/>
        </w:rPr>
      </w:pPr>
      <w:r>
        <w:rPr>
          <w:rFonts w:hint="eastAsia" w:ascii="仿宋" w:hAnsi="仿宋" w:eastAsia="仿宋" w:cs="仿宋"/>
          <w:b/>
          <w:bCs/>
          <w:sz w:val="72"/>
          <w:szCs w:val="72"/>
          <w:highlight w:val="none"/>
          <w:lang w:eastAsia="zh-CN"/>
        </w:rPr>
        <w:t>富顺县中医医院2025年第三批医疗耗材采购项目</w:t>
      </w:r>
      <w:r>
        <w:rPr>
          <w:rFonts w:hint="eastAsia" w:ascii="仿宋" w:hAnsi="仿宋" w:eastAsia="仿宋" w:cs="仿宋"/>
          <w:b/>
          <w:bCs/>
          <w:sz w:val="72"/>
          <w:szCs w:val="72"/>
          <w:highlight w:val="none"/>
        </w:rPr>
        <w:t xml:space="preserve"> </w:t>
      </w:r>
    </w:p>
    <w:p w14:paraId="64737B16">
      <w:pPr>
        <w:pStyle w:val="34"/>
        <w:spacing w:before="46" w:after="46"/>
        <w:ind w:firstLine="0" w:firstLineChars="0"/>
        <w:jc w:val="center"/>
        <w:rPr>
          <w:rFonts w:hint="eastAsia" w:ascii="仿宋" w:hAnsi="仿宋" w:eastAsia="仿宋" w:cs="仿宋"/>
          <w:sz w:val="72"/>
          <w:szCs w:val="72"/>
          <w:highlight w:val="none"/>
        </w:rPr>
      </w:pPr>
    </w:p>
    <w:p w14:paraId="29C26C9B">
      <w:pPr>
        <w:pStyle w:val="34"/>
        <w:spacing w:before="46" w:after="46"/>
        <w:ind w:firstLine="0" w:firstLineChars="0"/>
        <w:jc w:val="center"/>
        <w:rPr>
          <w:rFonts w:hint="eastAsia" w:ascii="仿宋" w:hAnsi="仿宋" w:eastAsia="仿宋" w:cs="仿宋"/>
          <w:sz w:val="96"/>
          <w:szCs w:val="96"/>
          <w:highlight w:val="none"/>
        </w:rPr>
      </w:pPr>
      <w:r>
        <w:rPr>
          <w:rFonts w:hint="eastAsia" w:ascii="仿宋" w:hAnsi="仿宋" w:eastAsia="仿宋" w:cs="仿宋"/>
          <w:sz w:val="96"/>
          <w:szCs w:val="96"/>
          <w:highlight w:val="none"/>
        </w:rPr>
        <w:t>公开招标文件</w:t>
      </w:r>
    </w:p>
    <w:p w14:paraId="7B561B10">
      <w:pPr>
        <w:pStyle w:val="34"/>
        <w:spacing w:before="46" w:after="46"/>
        <w:ind w:firstLine="0" w:firstLineChars="0"/>
        <w:jc w:val="center"/>
        <w:rPr>
          <w:rFonts w:hint="eastAsia" w:ascii="仿宋" w:hAnsi="仿宋" w:eastAsia="仿宋" w:cs="仿宋"/>
          <w:sz w:val="96"/>
          <w:szCs w:val="96"/>
          <w:highlight w:val="none"/>
        </w:rPr>
      </w:pPr>
    </w:p>
    <w:p w14:paraId="0E08B9B1">
      <w:pPr>
        <w:pStyle w:val="34"/>
        <w:spacing w:before="46" w:after="46"/>
        <w:ind w:firstLine="0" w:firstLineChars="0"/>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lang w:val="zh-CN"/>
        </w:rPr>
        <w:t>采购人：富顺县中医医院</w:t>
      </w:r>
    </w:p>
    <w:p w14:paraId="41A893E5">
      <w:pPr>
        <w:pStyle w:val="34"/>
        <w:spacing w:before="46" w:after="46"/>
        <w:ind w:firstLine="0" w:firstLineChars="0"/>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lang w:val="zh-CN"/>
        </w:rPr>
        <w:t>代理机构：四川中采项目管理有限公司</w:t>
      </w:r>
    </w:p>
    <w:p w14:paraId="736D0B86">
      <w:pPr>
        <w:pStyle w:val="34"/>
        <w:spacing w:before="46" w:after="46"/>
        <w:ind w:firstLine="0" w:firstLineChars="0"/>
        <w:jc w:val="center"/>
        <w:rPr>
          <w:rFonts w:hint="eastAsia" w:ascii="仿宋" w:hAnsi="仿宋" w:eastAsia="仿宋" w:cs="仿宋"/>
          <w:b/>
          <w:sz w:val="36"/>
          <w:szCs w:val="36"/>
          <w:highlight w:val="none"/>
          <w:lang w:val="zh-CN"/>
        </w:rPr>
      </w:pPr>
      <w:r>
        <w:rPr>
          <w:rFonts w:hint="eastAsia" w:ascii="仿宋" w:hAnsi="仿宋" w:eastAsia="仿宋" w:cs="仿宋"/>
          <w:b/>
          <w:sz w:val="36"/>
          <w:szCs w:val="36"/>
          <w:highlight w:val="none"/>
          <w:lang w:val="zh-CN"/>
        </w:rPr>
        <w:t>文件编制：共同编制</w:t>
      </w:r>
    </w:p>
    <w:p w14:paraId="5A7128F3">
      <w:pPr>
        <w:pStyle w:val="34"/>
        <w:spacing w:before="46" w:after="46"/>
        <w:ind w:firstLine="0" w:firstLineChars="0"/>
        <w:rPr>
          <w:rFonts w:hint="eastAsia" w:ascii="仿宋" w:hAnsi="仿宋" w:eastAsia="仿宋" w:cs="仿宋"/>
          <w:b/>
          <w:sz w:val="32"/>
          <w:szCs w:val="32"/>
          <w:highlight w:val="none"/>
        </w:rPr>
      </w:pPr>
    </w:p>
    <w:p w14:paraId="18D4107E">
      <w:pPr>
        <w:pStyle w:val="34"/>
        <w:spacing w:before="46" w:after="46"/>
        <w:ind w:firstLine="640"/>
        <w:rPr>
          <w:rFonts w:hint="eastAsia" w:ascii="仿宋" w:hAnsi="仿宋" w:eastAsia="仿宋" w:cs="仿宋"/>
          <w:sz w:val="32"/>
          <w:szCs w:val="32"/>
          <w:highlight w:val="none"/>
        </w:rPr>
      </w:pPr>
    </w:p>
    <w:p w14:paraId="0D09FC10">
      <w:pPr>
        <w:pStyle w:val="34"/>
        <w:spacing w:before="46" w:after="46"/>
        <w:ind w:firstLine="643"/>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中国·四川·自贡</w:t>
      </w:r>
    </w:p>
    <w:p w14:paraId="3441531A">
      <w:pPr>
        <w:pStyle w:val="34"/>
        <w:spacing w:before="46" w:after="46"/>
        <w:ind w:firstLine="643"/>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二〇二</w:t>
      </w:r>
      <w:r>
        <w:rPr>
          <w:rFonts w:hint="eastAsia" w:ascii="仿宋" w:hAnsi="仿宋" w:eastAsia="仿宋" w:cs="仿宋"/>
          <w:b/>
          <w:sz w:val="32"/>
          <w:szCs w:val="32"/>
          <w:highlight w:val="none"/>
          <w:lang w:eastAsia="zh-CN"/>
        </w:rPr>
        <w:t>五</w:t>
      </w:r>
      <w:r>
        <w:rPr>
          <w:rFonts w:hint="eastAsia" w:ascii="仿宋" w:hAnsi="仿宋" w:eastAsia="仿宋" w:cs="仿宋"/>
          <w:b/>
          <w:sz w:val="32"/>
          <w:szCs w:val="32"/>
          <w:highlight w:val="none"/>
        </w:rPr>
        <w:t>年</w:t>
      </w:r>
      <w:r>
        <w:rPr>
          <w:rFonts w:hint="eastAsia" w:ascii="仿宋" w:hAnsi="仿宋" w:eastAsia="仿宋" w:cs="仿宋"/>
          <w:b/>
          <w:sz w:val="32"/>
          <w:szCs w:val="32"/>
          <w:highlight w:val="none"/>
          <w:lang w:eastAsia="zh-CN"/>
        </w:rPr>
        <w:t>三</w:t>
      </w:r>
      <w:r>
        <w:rPr>
          <w:rFonts w:hint="eastAsia" w:ascii="仿宋" w:hAnsi="仿宋" w:eastAsia="仿宋" w:cs="仿宋"/>
          <w:b/>
          <w:sz w:val="32"/>
          <w:szCs w:val="32"/>
          <w:highlight w:val="none"/>
        </w:rPr>
        <w:t>月</w:t>
      </w:r>
    </w:p>
    <w:p w14:paraId="649902A4">
      <w:pPr>
        <w:pStyle w:val="34"/>
        <w:spacing w:before="46" w:after="46"/>
        <w:ind w:firstLine="640"/>
        <w:jc w:val="center"/>
        <w:rPr>
          <w:rFonts w:hint="eastAsia" w:ascii="仿宋" w:hAnsi="仿宋" w:eastAsia="仿宋" w:cs="仿宋"/>
          <w:sz w:val="32"/>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17" w:right="1134" w:bottom="1417" w:left="1134" w:header="851" w:footer="992" w:gutter="0"/>
          <w:pgNumType w:start="1"/>
          <w:cols w:space="0" w:num="1"/>
          <w:titlePg/>
          <w:docGrid w:type="lines" w:linePitch="312" w:charSpace="0"/>
        </w:sectPr>
      </w:pPr>
    </w:p>
    <w:p w14:paraId="7AD4C5F1">
      <w:pPr>
        <w:spacing w:line="360" w:lineRule="auto"/>
        <w:rPr>
          <w:rFonts w:hint="eastAsia" w:ascii="仿宋" w:hAnsi="仿宋" w:eastAsia="仿宋" w:cs="仿宋"/>
          <w:b/>
          <w:bCs/>
          <w:sz w:val="24"/>
          <w:szCs w:val="24"/>
          <w:highlight w:val="none"/>
        </w:rPr>
      </w:pPr>
    </w:p>
    <w:p w14:paraId="7BE420D7">
      <w:pPr>
        <w:spacing w:line="360" w:lineRule="auto"/>
        <w:jc w:val="cente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t>目    录</w:t>
      </w:r>
    </w:p>
    <w:p w14:paraId="6811D07B">
      <w:pPr>
        <w:pStyle w:val="16"/>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TOC \o "1-3" \h \u </w:instrText>
      </w:r>
      <w:r>
        <w:rPr>
          <w:rFonts w:hint="eastAsia" w:ascii="仿宋" w:hAnsi="仿宋" w:eastAsia="仿宋" w:cs="仿宋"/>
          <w:sz w:val="24"/>
          <w:szCs w:val="24"/>
          <w:highlight w:val="none"/>
        </w:rPr>
        <w:fldChar w:fldCharType="separate"/>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"_Toc22921"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第一章  投标邀请</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_Toc22921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720B481D">
      <w:pPr>
        <w:rPr>
          <w:rFonts w:hint="eastAsia"/>
        </w:rPr>
      </w:pPr>
    </w:p>
    <w:p w14:paraId="2FF6C32B">
      <w:pPr>
        <w:pStyle w:val="16"/>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"_Toc20133"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第二章  投标人须知</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_Toc20133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719E8095">
      <w:pPr>
        <w:pStyle w:val="18"/>
        <w:tabs>
          <w:tab w:val="right" w:leader="dot" w:pos="9582"/>
        </w:tabs>
        <w:spacing w:line="360" w:lineRule="auto"/>
        <w:ind w:left="680"/>
        <w:rPr>
          <w:rFonts w:hint="eastAsia" w:ascii="仿宋" w:hAnsi="仿宋" w:eastAsia="仿宋" w:cs="仿宋"/>
          <w:sz w:val="24"/>
          <w:szCs w:val="24"/>
          <w:highlight w:val="none"/>
        </w:rPr>
      </w:pPr>
    </w:p>
    <w:p w14:paraId="4F17D9E8">
      <w:pPr>
        <w:pStyle w:val="16"/>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"_Toc13625"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第三章  投标人资格条件要求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_Toc13625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17</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33662783">
      <w:pPr>
        <w:pStyle w:val="18"/>
        <w:tabs>
          <w:tab w:val="right" w:leader="dot" w:pos="9582"/>
        </w:tabs>
        <w:spacing w:line="360" w:lineRule="auto"/>
        <w:ind w:left="680"/>
        <w:rPr>
          <w:rFonts w:hint="eastAsia" w:ascii="仿宋" w:hAnsi="仿宋" w:eastAsia="仿宋" w:cs="仿宋"/>
          <w:sz w:val="24"/>
          <w:szCs w:val="24"/>
          <w:highlight w:val="none"/>
        </w:rPr>
      </w:pPr>
    </w:p>
    <w:p w14:paraId="72421866">
      <w:pPr>
        <w:pStyle w:val="16"/>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"_Toc8105"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第四章  投标人资格证明材料</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_Toc8105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18</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74EEFB76">
      <w:pPr>
        <w:rPr>
          <w:rFonts w:hint="eastAsia"/>
        </w:rPr>
      </w:pPr>
    </w:p>
    <w:p w14:paraId="3279D149">
      <w:pPr>
        <w:pStyle w:val="16"/>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"_Toc30908"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第五章 招标项目技术、服务、采购合同内容条款及其他商务要求</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_Toc30908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20</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16B43523">
      <w:pPr>
        <w:pStyle w:val="18"/>
        <w:tabs>
          <w:tab w:val="right" w:leader="dot" w:pos="9582"/>
        </w:tabs>
        <w:spacing w:line="360" w:lineRule="auto"/>
        <w:ind w:left="680"/>
        <w:rPr>
          <w:rFonts w:hint="eastAsia" w:ascii="仿宋" w:hAnsi="仿宋" w:eastAsia="仿宋" w:cs="仿宋"/>
          <w:sz w:val="24"/>
          <w:szCs w:val="24"/>
          <w:highlight w:val="none"/>
        </w:rPr>
      </w:pPr>
    </w:p>
    <w:p w14:paraId="5E4F638C">
      <w:pPr>
        <w:pStyle w:val="16"/>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"_Toc1792"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 xml:space="preserve">第六章  </w:t>
      </w:r>
      <w:r>
        <w:rPr>
          <w:rFonts w:hint="eastAsia" w:ascii="仿宋" w:hAnsi="仿宋" w:eastAsia="仿宋" w:cs="仿宋"/>
          <w:bCs/>
          <w:sz w:val="24"/>
          <w:szCs w:val="24"/>
          <w:highlight w:val="none"/>
        </w:rPr>
        <w:t>投标文件格式</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_Toc1792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20</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696FB161">
      <w:pPr>
        <w:pStyle w:val="18"/>
        <w:tabs>
          <w:tab w:val="right" w:leader="dot" w:pos="9582"/>
        </w:tabs>
        <w:spacing w:line="360" w:lineRule="auto"/>
        <w:ind w:left="680"/>
        <w:rPr>
          <w:rFonts w:hint="eastAsia" w:ascii="仿宋" w:hAnsi="仿宋" w:eastAsia="仿宋" w:cs="仿宋"/>
          <w:sz w:val="24"/>
          <w:szCs w:val="24"/>
          <w:highlight w:val="none"/>
        </w:rPr>
      </w:pPr>
    </w:p>
    <w:p w14:paraId="70C28CFF">
      <w:pPr>
        <w:pStyle w:val="16"/>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"_Toc8851"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第七章  评标方法</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_Toc8851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35</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740B5272">
      <w:pPr>
        <w:pStyle w:val="18"/>
        <w:tabs>
          <w:tab w:val="right" w:leader="dot" w:pos="9582"/>
        </w:tabs>
        <w:spacing w:line="360" w:lineRule="auto"/>
        <w:ind w:left="680"/>
        <w:rPr>
          <w:rFonts w:hint="eastAsia" w:ascii="仿宋" w:hAnsi="仿宋" w:eastAsia="仿宋" w:cs="仿宋"/>
          <w:sz w:val="24"/>
          <w:szCs w:val="24"/>
          <w:highlight w:val="none"/>
        </w:rPr>
      </w:pPr>
    </w:p>
    <w:p w14:paraId="1AB3AB67">
      <w:pPr>
        <w:pStyle w:val="16"/>
        <w:tabs>
          <w:tab w:val="right" w:leader="dot" w:pos="9582"/>
        </w:tabs>
        <w:spacing w:line="360" w:lineRule="auto"/>
        <w:rPr>
          <w:rFonts w:hint="eastAsia" w:ascii="仿宋" w:hAnsi="仿宋" w:eastAsia="仿宋" w:cs="仿宋"/>
          <w:sz w:val="24"/>
          <w:szCs w:val="24"/>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"_Toc3114" </w:instrText>
      </w:r>
      <w:r>
        <w:rPr>
          <w:rFonts w:hint="eastAsia" w:ascii="仿宋" w:hAnsi="仿宋" w:eastAsia="仿宋" w:cs="仿宋"/>
          <w:highlight w:val="none"/>
        </w:rPr>
        <w:fldChar w:fldCharType="separate"/>
      </w:r>
      <w:r>
        <w:rPr>
          <w:rFonts w:hint="eastAsia" w:ascii="仿宋" w:hAnsi="仿宋" w:eastAsia="仿宋" w:cs="仿宋"/>
          <w:sz w:val="24"/>
          <w:szCs w:val="24"/>
          <w:highlight w:val="none"/>
        </w:rPr>
        <w:t>第八章  采购合同（草案）</w:t>
      </w:r>
      <w:r>
        <w:rPr>
          <w:rFonts w:hint="eastAsia" w:ascii="仿宋" w:hAnsi="仿宋" w:eastAsia="仿宋" w:cs="仿宋"/>
          <w:sz w:val="24"/>
          <w:szCs w:val="24"/>
          <w:highlight w:val="none"/>
        </w:rPr>
        <w:tab/>
      </w:r>
      <w:r>
        <w:rPr>
          <w:rFonts w:hint="eastAsia" w:ascii="仿宋" w:hAnsi="仿宋" w:eastAsia="仿宋" w:cs="仿宋"/>
          <w:sz w:val="24"/>
          <w:szCs w:val="24"/>
          <w:highlight w:val="none"/>
        </w:rPr>
        <w:fldChar w:fldCharType="begin"/>
      </w:r>
      <w:r>
        <w:rPr>
          <w:rFonts w:hint="eastAsia" w:ascii="仿宋" w:hAnsi="仿宋" w:eastAsia="仿宋" w:cs="仿宋"/>
          <w:sz w:val="24"/>
          <w:szCs w:val="24"/>
          <w:highlight w:val="none"/>
        </w:rPr>
        <w:instrText xml:space="preserve"> PAGEREF _Toc3114 </w:instrText>
      </w:r>
      <w:r>
        <w:rPr>
          <w:rFonts w:hint="eastAsia" w:ascii="仿宋" w:hAnsi="仿宋" w:eastAsia="仿宋" w:cs="仿宋"/>
          <w:sz w:val="24"/>
          <w:szCs w:val="24"/>
          <w:highlight w:val="none"/>
        </w:rPr>
        <w:fldChar w:fldCharType="separate"/>
      </w:r>
      <w:r>
        <w:rPr>
          <w:rFonts w:hint="eastAsia" w:ascii="仿宋" w:hAnsi="仿宋" w:eastAsia="仿宋" w:cs="仿宋"/>
          <w:sz w:val="24"/>
          <w:szCs w:val="24"/>
          <w:highlight w:val="none"/>
        </w:rPr>
        <w:t>46</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rPr>
        <w:fldChar w:fldCharType="end"/>
      </w:r>
    </w:p>
    <w:p w14:paraId="5C5D8BA4">
      <w:pPr>
        <w:rPr>
          <w:rFonts w:hint="eastAsia"/>
        </w:rPr>
      </w:pPr>
    </w:p>
    <w:p w14:paraId="45A721CA">
      <w:pPr>
        <w:pStyle w:val="16"/>
        <w:tabs>
          <w:tab w:val="right" w:leader="dot" w:pos="9582"/>
        </w:tabs>
        <w:spacing w:line="360" w:lineRule="auto"/>
        <w:rPr>
          <w:rFonts w:hint="eastAsia" w:ascii="仿宋" w:hAnsi="仿宋" w:eastAsia="仿宋" w:cs="仿宋"/>
          <w:sz w:val="24"/>
          <w:szCs w:val="24"/>
          <w:highlight w:val="none"/>
          <w:lang w:val="en-US" w:eastAsia="zh-CN"/>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"_Toc28817" </w:instrText>
      </w:r>
      <w:r>
        <w:rPr>
          <w:rFonts w:hint="eastAsia" w:ascii="仿宋" w:hAnsi="仿宋" w:eastAsia="仿宋" w:cs="仿宋"/>
          <w:highlight w:val="none"/>
        </w:rPr>
        <w:fldChar w:fldCharType="separate"/>
      </w:r>
      <w:r>
        <w:rPr>
          <w:rFonts w:hint="eastAsia" w:ascii="仿宋" w:hAnsi="仿宋" w:eastAsia="仿宋" w:cs="仿宋"/>
          <w:bCs/>
          <w:sz w:val="24"/>
          <w:szCs w:val="24"/>
          <w:highlight w:val="none"/>
        </w:rPr>
        <w:t>第九章 附件</w:t>
      </w:r>
      <w:r>
        <w:rPr>
          <w:rFonts w:hint="eastAsia" w:ascii="仿宋" w:hAnsi="仿宋" w:eastAsia="仿宋" w:cs="仿宋"/>
          <w:sz w:val="24"/>
          <w:szCs w:val="24"/>
          <w:highlight w:val="none"/>
        </w:rPr>
        <w:tab/>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fldChar w:fldCharType="end"/>
      </w:r>
      <w:r>
        <w:rPr>
          <w:rFonts w:hint="eastAsia" w:ascii="仿宋" w:hAnsi="仿宋" w:eastAsia="仿宋" w:cs="仿宋"/>
          <w:sz w:val="24"/>
          <w:szCs w:val="24"/>
          <w:highlight w:val="none"/>
          <w:lang w:val="en-US" w:eastAsia="zh-CN"/>
        </w:rPr>
        <w:t>1</w:t>
      </w:r>
    </w:p>
    <w:p w14:paraId="57BF59D8">
      <w:pPr>
        <w:pStyle w:val="18"/>
        <w:tabs>
          <w:tab w:val="right" w:leader="dot" w:pos="9582"/>
        </w:tabs>
        <w:spacing w:line="360" w:lineRule="auto"/>
        <w:ind w:left="680"/>
        <w:rPr>
          <w:rFonts w:hint="eastAsia" w:ascii="仿宋" w:hAnsi="仿宋" w:eastAsia="仿宋" w:cs="仿宋"/>
          <w:sz w:val="24"/>
          <w:szCs w:val="24"/>
          <w:highlight w:val="none"/>
        </w:rPr>
      </w:pPr>
    </w:p>
    <w:p w14:paraId="27AAE75D">
      <w:pPr>
        <w:spacing w:line="360" w:lineRule="auto"/>
        <w:ind w:firstLine="480" w:firstLineChars="200"/>
        <w:rPr>
          <w:rFonts w:hint="eastAsia" w:ascii="仿宋" w:hAnsi="仿宋" w:eastAsia="仿宋" w:cs="仿宋"/>
          <w:bCs/>
          <w:sz w:val="24"/>
          <w:szCs w:val="24"/>
          <w:highlight w:val="none"/>
        </w:rPr>
        <w:sectPr>
          <w:footerReference r:id="rId11" w:type="first"/>
          <w:headerReference r:id="rId9" w:type="default"/>
          <w:footerReference r:id="rId10" w:type="default"/>
          <w:pgSz w:w="11850" w:h="16783"/>
          <w:pgMar w:top="1417" w:right="1134" w:bottom="1417" w:left="1134" w:header="851" w:footer="992" w:gutter="0"/>
          <w:pgNumType w:start="1"/>
          <w:cols w:space="0" w:num="1"/>
          <w:titlePg/>
          <w:docGrid w:type="linesAndChars" w:linePitch="312" w:charSpace="0"/>
        </w:sectPr>
      </w:pPr>
      <w:r>
        <w:rPr>
          <w:rFonts w:hint="eastAsia" w:ascii="仿宋" w:hAnsi="仿宋" w:eastAsia="仿宋" w:cs="仿宋"/>
          <w:sz w:val="24"/>
          <w:szCs w:val="24"/>
          <w:highlight w:val="none"/>
        </w:rPr>
        <w:fldChar w:fldCharType="end"/>
      </w:r>
    </w:p>
    <w:p w14:paraId="0BA85BFA">
      <w:pPr>
        <w:pStyle w:val="4"/>
        <w:keepNext w:val="0"/>
        <w:keepLines w:val="0"/>
        <w:spacing w:line="360" w:lineRule="auto"/>
        <w:jc w:val="center"/>
        <w:rPr>
          <w:rFonts w:hint="eastAsia" w:ascii="仿宋" w:hAnsi="仿宋" w:eastAsia="仿宋" w:cs="仿宋"/>
          <w:bCs w:val="0"/>
          <w:sz w:val="36"/>
          <w:szCs w:val="36"/>
          <w:highlight w:val="none"/>
        </w:rPr>
      </w:pPr>
      <w:bookmarkStart w:id="2" w:name="_Toc22921"/>
      <w:r>
        <w:rPr>
          <w:rFonts w:hint="eastAsia" w:ascii="仿宋" w:hAnsi="仿宋" w:eastAsia="仿宋" w:cs="仿宋"/>
          <w:bCs w:val="0"/>
          <w:sz w:val="36"/>
          <w:szCs w:val="36"/>
          <w:highlight w:val="none"/>
        </w:rPr>
        <w:t>第一章  投标邀请</w:t>
      </w:r>
      <w:bookmarkEnd w:id="2"/>
    </w:p>
    <w:p w14:paraId="341E51EC">
      <w:pPr>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u w:val="single"/>
          <w:lang w:eastAsia="zh-CN"/>
        </w:rPr>
        <w:t>四川中采项目管理有限公司</w:t>
      </w:r>
      <w:r>
        <w:rPr>
          <w:rFonts w:hint="eastAsia" w:ascii="仿宋" w:hAnsi="仿宋" w:eastAsia="仿宋" w:cs="仿宋"/>
          <w:kern w:val="2"/>
          <w:sz w:val="24"/>
          <w:szCs w:val="24"/>
          <w:highlight w:val="none"/>
        </w:rPr>
        <w:t>受</w:t>
      </w:r>
      <w:r>
        <w:rPr>
          <w:rFonts w:hint="eastAsia" w:ascii="仿宋" w:hAnsi="仿宋" w:eastAsia="仿宋" w:cs="仿宋"/>
          <w:kern w:val="2"/>
          <w:sz w:val="24"/>
          <w:szCs w:val="24"/>
          <w:highlight w:val="none"/>
          <w:u w:val="single"/>
        </w:rPr>
        <w:t>富顺县中医医院</w:t>
      </w:r>
      <w:r>
        <w:rPr>
          <w:rFonts w:hint="eastAsia" w:ascii="仿宋" w:hAnsi="仿宋" w:eastAsia="仿宋" w:cs="仿宋"/>
          <w:kern w:val="2"/>
          <w:sz w:val="24"/>
          <w:szCs w:val="24"/>
          <w:highlight w:val="none"/>
        </w:rPr>
        <w:t>委托，拟对</w:t>
      </w:r>
      <w:r>
        <w:rPr>
          <w:rFonts w:hint="eastAsia" w:ascii="仿宋" w:hAnsi="仿宋" w:eastAsia="仿宋" w:cs="仿宋"/>
          <w:kern w:val="2"/>
          <w:sz w:val="24"/>
          <w:szCs w:val="24"/>
          <w:highlight w:val="none"/>
          <w:u w:val="single"/>
          <w:lang w:eastAsia="zh-CN"/>
        </w:rPr>
        <w:t>富顺县中医医院2025年第三批医疗耗材采购项目</w:t>
      </w:r>
      <w:r>
        <w:rPr>
          <w:rFonts w:hint="eastAsia" w:ascii="仿宋" w:hAnsi="仿宋" w:eastAsia="仿宋" w:cs="仿宋"/>
          <w:kern w:val="2"/>
          <w:sz w:val="24"/>
          <w:szCs w:val="24"/>
          <w:highlight w:val="none"/>
        </w:rPr>
        <w:t>进行公开招标，兹邀请符合本次招标要求的投标人参加投标。</w:t>
      </w:r>
    </w:p>
    <w:p w14:paraId="646B2538">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一、采购项目基本情况</w:t>
      </w:r>
    </w:p>
    <w:p w14:paraId="245B212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1.招标编号：</w:t>
      </w:r>
      <w:r>
        <w:rPr>
          <w:rFonts w:hint="eastAsia" w:ascii="仿宋" w:hAnsi="仿宋" w:eastAsia="仿宋" w:cs="仿宋"/>
          <w:sz w:val="24"/>
          <w:szCs w:val="24"/>
          <w:highlight w:val="none"/>
          <w:lang w:val="zh-CN"/>
        </w:rPr>
        <w:t>SCZC-20250226</w:t>
      </w:r>
      <w:r>
        <w:rPr>
          <w:rFonts w:hint="eastAsia" w:ascii="仿宋" w:hAnsi="仿宋" w:eastAsia="仿宋" w:cs="仿宋"/>
          <w:sz w:val="24"/>
          <w:szCs w:val="24"/>
          <w:highlight w:val="none"/>
        </w:rPr>
        <w:t>。</w:t>
      </w:r>
    </w:p>
    <w:p w14:paraId="66B212B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2.招标项目名称：</w:t>
      </w:r>
      <w:bookmarkStart w:id="3" w:name="OLE_LINK3"/>
      <w:r>
        <w:rPr>
          <w:rFonts w:hint="eastAsia" w:ascii="仿宋" w:hAnsi="仿宋" w:eastAsia="仿宋" w:cs="仿宋"/>
          <w:sz w:val="24"/>
          <w:szCs w:val="24"/>
          <w:highlight w:val="none"/>
          <w:lang w:eastAsia="zh-CN"/>
        </w:rPr>
        <w:t>富顺县中医医院2025年第三批医疗耗材采购项目</w:t>
      </w:r>
      <w:bookmarkEnd w:id="3"/>
      <w:r>
        <w:rPr>
          <w:rFonts w:hint="eastAsia" w:ascii="仿宋" w:hAnsi="仿宋" w:eastAsia="仿宋" w:cs="仿宋"/>
          <w:sz w:val="24"/>
          <w:szCs w:val="24"/>
          <w:highlight w:val="none"/>
        </w:rPr>
        <w:t>。</w:t>
      </w:r>
    </w:p>
    <w:p w14:paraId="7E795C00">
      <w:pPr>
        <w:kinsoku w:val="0"/>
        <w:overflowPunct w:val="0"/>
        <w:autoSpaceDE w:val="0"/>
        <w:autoSpaceDN w:val="0"/>
        <w:snapToGrid w:val="0"/>
        <w:spacing w:line="36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3.预算金额：</w:t>
      </w:r>
      <w:bookmarkStart w:id="4" w:name="OLE_LINK13"/>
      <w:r>
        <w:rPr>
          <w:rFonts w:hint="eastAsia" w:ascii="仿宋" w:hAnsi="仿宋" w:eastAsia="仿宋" w:cs="仿宋"/>
          <w:sz w:val="24"/>
          <w:szCs w:val="24"/>
          <w:highlight w:val="none"/>
          <w:lang w:val="en-US" w:eastAsia="zh-CN"/>
        </w:rPr>
        <w:t>1383943.52元（大写：壹佰叁拾捌万叁仟玖佰肆拾叁元伍角贰分）</w:t>
      </w:r>
    </w:p>
    <w:bookmarkEnd w:id="4"/>
    <w:p w14:paraId="6CF1768F">
      <w:pPr>
        <w:kinsoku w:val="0"/>
        <w:overflowPunct w:val="0"/>
        <w:autoSpaceDE w:val="0"/>
        <w:autoSpaceDN w:val="0"/>
        <w:snapToGrid w:val="0"/>
        <w:spacing w:line="360" w:lineRule="auto"/>
        <w:ind w:firstLine="480" w:firstLineChars="2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其中：</w:t>
      </w:r>
      <w:bookmarkStart w:id="5" w:name="OLE_LINK10"/>
      <w:r>
        <w:rPr>
          <w:rFonts w:hint="eastAsia" w:ascii="仿宋" w:hAnsi="仿宋" w:eastAsia="仿宋" w:cs="仿宋"/>
          <w:sz w:val="24"/>
          <w:szCs w:val="24"/>
          <w:highlight w:val="none"/>
          <w:lang w:val="en-US" w:eastAsia="zh-CN"/>
        </w:rPr>
        <w:t>第一包：</w:t>
      </w:r>
      <w:bookmarkStart w:id="6" w:name="OLE_LINK5"/>
      <w:r>
        <w:rPr>
          <w:rFonts w:hint="eastAsia" w:ascii="仿宋" w:hAnsi="仿宋" w:eastAsia="仿宋" w:cs="仿宋"/>
          <w:sz w:val="24"/>
          <w:szCs w:val="24"/>
          <w:highlight w:val="none"/>
          <w:lang w:val="en-US" w:eastAsia="zh-CN"/>
        </w:rPr>
        <w:t>200526.00</w:t>
      </w:r>
      <w:bookmarkEnd w:id="6"/>
      <w:r>
        <w:rPr>
          <w:rFonts w:hint="eastAsia" w:ascii="仿宋" w:hAnsi="仿宋" w:eastAsia="仿宋" w:cs="仿宋"/>
          <w:sz w:val="24"/>
          <w:szCs w:val="24"/>
          <w:highlight w:val="none"/>
          <w:lang w:val="en-US" w:eastAsia="zh-CN"/>
        </w:rPr>
        <w:t>元（大写：贰拾万零伍佰贰拾陆元整）；</w:t>
      </w:r>
    </w:p>
    <w:p w14:paraId="01947C89">
      <w:pPr>
        <w:kinsoku w:val="0"/>
        <w:overflowPunct w:val="0"/>
        <w:autoSpaceDE w:val="0"/>
        <w:autoSpaceDN w:val="0"/>
        <w:snapToGrid w:val="0"/>
        <w:spacing w:line="360" w:lineRule="auto"/>
        <w:ind w:firstLine="1200" w:firstLineChars="5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第二包：</w:t>
      </w:r>
      <w:bookmarkStart w:id="7" w:name="OLE_LINK2"/>
      <w:r>
        <w:rPr>
          <w:rFonts w:hint="eastAsia" w:ascii="仿宋" w:hAnsi="仿宋" w:eastAsia="仿宋" w:cs="仿宋"/>
          <w:sz w:val="24"/>
          <w:szCs w:val="24"/>
          <w:highlight w:val="none"/>
          <w:lang w:val="en-US" w:eastAsia="zh-CN"/>
        </w:rPr>
        <w:t>108000.00</w:t>
      </w:r>
      <w:bookmarkEnd w:id="7"/>
      <w:r>
        <w:rPr>
          <w:rFonts w:hint="eastAsia" w:ascii="仿宋" w:hAnsi="仿宋" w:eastAsia="仿宋" w:cs="仿宋"/>
          <w:sz w:val="24"/>
          <w:szCs w:val="24"/>
          <w:highlight w:val="none"/>
          <w:lang w:val="en-US" w:eastAsia="zh-CN"/>
        </w:rPr>
        <w:t>元（大写：壹拾万零捌仟元整）；</w:t>
      </w:r>
    </w:p>
    <w:p w14:paraId="0E07C877">
      <w:pPr>
        <w:kinsoku w:val="0"/>
        <w:overflowPunct w:val="0"/>
        <w:autoSpaceDE w:val="0"/>
        <w:autoSpaceDN w:val="0"/>
        <w:snapToGrid w:val="0"/>
        <w:spacing w:line="360" w:lineRule="auto"/>
        <w:ind w:firstLine="1200" w:firstLineChars="5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第三包：</w:t>
      </w:r>
      <w:bookmarkStart w:id="8" w:name="OLE_LINK4"/>
      <w:r>
        <w:rPr>
          <w:rFonts w:hint="eastAsia" w:ascii="仿宋" w:hAnsi="仿宋" w:eastAsia="仿宋" w:cs="仿宋"/>
          <w:sz w:val="24"/>
          <w:szCs w:val="24"/>
          <w:highlight w:val="none"/>
          <w:lang w:val="en-US" w:eastAsia="zh-CN"/>
        </w:rPr>
        <w:t>105168.00</w:t>
      </w:r>
      <w:bookmarkEnd w:id="8"/>
      <w:r>
        <w:rPr>
          <w:rFonts w:hint="eastAsia" w:ascii="仿宋" w:hAnsi="仿宋" w:eastAsia="仿宋" w:cs="仿宋"/>
          <w:sz w:val="24"/>
          <w:szCs w:val="24"/>
          <w:highlight w:val="none"/>
          <w:lang w:val="en-US" w:eastAsia="zh-CN"/>
        </w:rPr>
        <w:t>元（大写：壹拾万零伍仟壹佰陆拾捌元整）；</w:t>
      </w:r>
    </w:p>
    <w:p w14:paraId="4CDC7258">
      <w:pPr>
        <w:kinsoku w:val="0"/>
        <w:overflowPunct w:val="0"/>
        <w:autoSpaceDE w:val="0"/>
        <w:autoSpaceDN w:val="0"/>
        <w:snapToGrid w:val="0"/>
        <w:spacing w:line="360" w:lineRule="auto"/>
        <w:ind w:firstLine="1200" w:firstLineChars="5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第四包：</w:t>
      </w:r>
      <w:bookmarkStart w:id="9" w:name="OLE_LINK6"/>
      <w:r>
        <w:rPr>
          <w:rFonts w:hint="eastAsia" w:ascii="仿宋" w:hAnsi="仿宋" w:eastAsia="仿宋" w:cs="仿宋"/>
          <w:sz w:val="24"/>
          <w:szCs w:val="24"/>
          <w:highlight w:val="none"/>
          <w:lang w:val="en-US" w:eastAsia="zh-CN"/>
        </w:rPr>
        <w:t>139294.28</w:t>
      </w:r>
      <w:bookmarkEnd w:id="9"/>
      <w:r>
        <w:rPr>
          <w:rFonts w:hint="eastAsia" w:ascii="仿宋" w:hAnsi="仿宋" w:eastAsia="仿宋" w:cs="仿宋"/>
          <w:sz w:val="24"/>
          <w:szCs w:val="24"/>
          <w:highlight w:val="none"/>
          <w:lang w:val="en-US" w:eastAsia="zh-CN"/>
        </w:rPr>
        <w:t>元（大写：壹拾叁万玖仟贰佰玖拾肆元贰角捌分）；</w:t>
      </w:r>
    </w:p>
    <w:p w14:paraId="0E49421C">
      <w:pPr>
        <w:kinsoku w:val="0"/>
        <w:overflowPunct w:val="0"/>
        <w:autoSpaceDE w:val="0"/>
        <w:autoSpaceDN w:val="0"/>
        <w:snapToGrid w:val="0"/>
        <w:spacing w:line="360" w:lineRule="auto"/>
        <w:ind w:firstLine="1200" w:firstLineChars="5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第五包：</w:t>
      </w:r>
      <w:bookmarkStart w:id="10" w:name="OLE_LINK7"/>
      <w:r>
        <w:rPr>
          <w:rFonts w:hint="eastAsia" w:ascii="仿宋" w:hAnsi="仿宋" w:eastAsia="仿宋" w:cs="仿宋"/>
          <w:sz w:val="24"/>
          <w:szCs w:val="24"/>
          <w:highlight w:val="none"/>
          <w:lang w:val="en-US" w:eastAsia="zh-CN"/>
        </w:rPr>
        <w:t>188212.00</w:t>
      </w:r>
      <w:bookmarkEnd w:id="10"/>
      <w:r>
        <w:rPr>
          <w:rFonts w:hint="eastAsia" w:ascii="仿宋" w:hAnsi="仿宋" w:eastAsia="仿宋" w:cs="仿宋"/>
          <w:sz w:val="24"/>
          <w:szCs w:val="24"/>
          <w:highlight w:val="none"/>
          <w:lang w:val="en-US" w:eastAsia="zh-CN"/>
        </w:rPr>
        <w:t>元（大写：壹拾捌万捌仟贰佰壹拾贰元整）；</w:t>
      </w:r>
    </w:p>
    <w:p w14:paraId="0E3EEED6">
      <w:pPr>
        <w:kinsoku w:val="0"/>
        <w:overflowPunct w:val="0"/>
        <w:autoSpaceDE w:val="0"/>
        <w:autoSpaceDN w:val="0"/>
        <w:snapToGrid w:val="0"/>
        <w:spacing w:line="360" w:lineRule="auto"/>
        <w:ind w:firstLine="1200" w:firstLineChars="5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第六包：</w:t>
      </w:r>
      <w:bookmarkStart w:id="11" w:name="OLE_LINK8"/>
      <w:r>
        <w:rPr>
          <w:rFonts w:hint="eastAsia" w:ascii="仿宋" w:hAnsi="仿宋" w:eastAsia="仿宋" w:cs="仿宋"/>
          <w:sz w:val="24"/>
          <w:szCs w:val="24"/>
          <w:highlight w:val="none"/>
          <w:lang w:val="en-US" w:eastAsia="zh-CN"/>
        </w:rPr>
        <w:t>120864.00</w:t>
      </w:r>
      <w:bookmarkEnd w:id="11"/>
      <w:r>
        <w:rPr>
          <w:rFonts w:hint="eastAsia" w:ascii="仿宋" w:hAnsi="仿宋" w:eastAsia="仿宋" w:cs="仿宋"/>
          <w:sz w:val="24"/>
          <w:szCs w:val="24"/>
          <w:highlight w:val="none"/>
          <w:lang w:val="en-US" w:eastAsia="zh-CN"/>
        </w:rPr>
        <w:t>元（大写：壹拾贰万零捌佰陆拾肆元整）；</w:t>
      </w:r>
    </w:p>
    <w:p w14:paraId="5F9FA885">
      <w:pPr>
        <w:kinsoku w:val="0"/>
        <w:overflowPunct w:val="0"/>
        <w:autoSpaceDE w:val="0"/>
        <w:autoSpaceDN w:val="0"/>
        <w:snapToGrid w:val="0"/>
        <w:spacing w:line="360" w:lineRule="auto"/>
        <w:ind w:firstLine="1200" w:firstLineChars="500"/>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第七包：</w:t>
      </w:r>
      <w:bookmarkStart w:id="12" w:name="OLE_LINK9"/>
      <w:r>
        <w:rPr>
          <w:rFonts w:hint="eastAsia" w:ascii="仿宋" w:hAnsi="仿宋" w:eastAsia="仿宋" w:cs="仿宋"/>
          <w:sz w:val="24"/>
          <w:szCs w:val="24"/>
          <w:highlight w:val="none"/>
          <w:lang w:val="en-US" w:eastAsia="zh-CN"/>
        </w:rPr>
        <w:t>521879.24</w:t>
      </w:r>
      <w:bookmarkEnd w:id="12"/>
      <w:r>
        <w:rPr>
          <w:rFonts w:hint="eastAsia" w:ascii="仿宋" w:hAnsi="仿宋" w:eastAsia="仿宋" w:cs="仿宋"/>
          <w:sz w:val="24"/>
          <w:szCs w:val="24"/>
          <w:highlight w:val="none"/>
          <w:lang w:val="en-US" w:eastAsia="zh-CN"/>
        </w:rPr>
        <w:t>元（大写：伍拾贰万壹仟捌佰柒拾玖元贰角肆分）</w:t>
      </w:r>
      <w:bookmarkEnd w:id="5"/>
      <w:r>
        <w:rPr>
          <w:rFonts w:hint="eastAsia" w:ascii="仿宋" w:hAnsi="仿宋" w:eastAsia="仿宋" w:cs="仿宋"/>
          <w:sz w:val="24"/>
          <w:szCs w:val="24"/>
          <w:highlight w:val="none"/>
          <w:lang w:val="en-US" w:eastAsia="zh-CN"/>
        </w:rPr>
        <w:t>。</w:t>
      </w:r>
    </w:p>
    <w:p w14:paraId="1EE54B4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4.采购人：富顺县中医医院。</w:t>
      </w:r>
    </w:p>
    <w:p w14:paraId="7430B0C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5.采购代理机构：</w:t>
      </w:r>
      <w:r>
        <w:rPr>
          <w:rFonts w:hint="eastAsia" w:ascii="仿宋" w:hAnsi="仿宋" w:eastAsia="仿宋" w:cs="仿宋"/>
          <w:sz w:val="24"/>
          <w:szCs w:val="24"/>
          <w:highlight w:val="none"/>
          <w:lang w:eastAsia="zh-CN"/>
        </w:rPr>
        <w:t>四川中采项目管理有限公司</w:t>
      </w:r>
      <w:r>
        <w:rPr>
          <w:rFonts w:hint="eastAsia" w:ascii="仿宋" w:hAnsi="仿宋" w:eastAsia="仿宋" w:cs="仿宋"/>
          <w:sz w:val="24"/>
          <w:szCs w:val="24"/>
          <w:highlight w:val="none"/>
        </w:rPr>
        <w:t>。</w:t>
      </w:r>
    </w:p>
    <w:p w14:paraId="3E4DD776">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二</w:t>
      </w:r>
      <w:r>
        <w:rPr>
          <w:rFonts w:hint="eastAsia" w:ascii="仿宋" w:hAnsi="仿宋" w:eastAsia="仿宋" w:cs="仿宋"/>
          <w:b/>
          <w:bCs/>
          <w:sz w:val="24"/>
          <w:szCs w:val="24"/>
          <w:highlight w:val="none"/>
        </w:rPr>
        <w:t>、</w:t>
      </w:r>
      <w:r>
        <w:rPr>
          <w:rFonts w:hint="eastAsia" w:ascii="仿宋" w:hAnsi="仿宋" w:eastAsia="仿宋" w:cs="仿宋"/>
          <w:b/>
          <w:sz w:val="24"/>
          <w:szCs w:val="24"/>
          <w:highlight w:val="none"/>
        </w:rPr>
        <w:t>招标项目简介</w:t>
      </w:r>
    </w:p>
    <w:p w14:paraId="119FF0B8">
      <w:pPr>
        <w:spacing w:after="12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根据富顺县中医医院的实际工作需要，现需对</w:t>
      </w:r>
      <w:r>
        <w:rPr>
          <w:rFonts w:hint="eastAsia" w:ascii="仿宋" w:hAnsi="仿宋" w:eastAsia="仿宋" w:cs="仿宋"/>
          <w:sz w:val="24"/>
          <w:szCs w:val="24"/>
          <w:highlight w:val="none"/>
          <w:lang w:eastAsia="zh-CN"/>
        </w:rPr>
        <w:t>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lang w:eastAsia="zh-CN"/>
        </w:rPr>
        <w:t>年第三批医疗耗材</w:t>
      </w:r>
      <w:r>
        <w:rPr>
          <w:rFonts w:hint="eastAsia" w:ascii="仿宋" w:hAnsi="仿宋" w:eastAsia="仿宋" w:cs="仿宋"/>
          <w:sz w:val="24"/>
          <w:szCs w:val="24"/>
          <w:highlight w:val="none"/>
        </w:rPr>
        <w:t>进行采购，供应商应满足采购人物资运输及售后服务等的要求。</w:t>
      </w:r>
    </w:p>
    <w:p w14:paraId="2682FA3B">
      <w:pPr>
        <w:spacing w:after="120"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三、投标人邀请方式</w:t>
      </w:r>
    </w:p>
    <w:p w14:paraId="0CD0CE86">
      <w:pPr>
        <w:spacing w:after="120"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公告方式：本次招标邀请在</w:t>
      </w:r>
      <w:r>
        <w:rPr>
          <w:rFonts w:hint="eastAsia" w:ascii="仿宋" w:hAnsi="仿宋" w:eastAsia="仿宋" w:cs="仿宋"/>
          <w:color w:val="auto"/>
          <w:sz w:val="24"/>
          <w:highlight w:val="none"/>
          <w:shd w:val="clear" w:color="auto" w:fill="auto"/>
        </w:rPr>
        <w:t>四川</w:t>
      </w:r>
      <w:r>
        <w:rPr>
          <w:rFonts w:hint="eastAsia" w:ascii="仿宋" w:hAnsi="仿宋" w:eastAsia="仿宋" w:cs="仿宋"/>
          <w:color w:val="auto"/>
          <w:sz w:val="24"/>
          <w:highlight w:val="none"/>
          <w:shd w:val="clear" w:color="auto" w:fill="auto"/>
          <w:lang w:eastAsia="zh-CN"/>
        </w:rPr>
        <w:t>招投标</w:t>
      </w:r>
      <w:r>
        <w:rPr>
          <w:rFonts w:hint="eastAsia" w:ascii="仿宋" w:hAnsi="仿宋" w:eastAsia="仿宋" w:cs="仿宋"/>
          <w:color w:val="auto"/>
          <w:sz w:val="24"/>
          <w:highlight w:val="none"/>
          <w:shd w:val="clear" w:color="auto" w:fill="auto"/>
        </w:rPr>
        <w:t>网</w:t>
      </w:r>
      <w:r>
        <w:rPr>
          <w:rFonts w:hint="eastAsia" w:ascii="仿宋" w:hAnsi="仿宋" w:eastAsia="仿宋" w:cs="仿宋"/>
          <w:color w:val="auto"/>
          <w:sz w:val="24"/>
          <w:highlight w:val="none"/>
          <w:shd w:val="clear" w:color="auto" w:fill="auto"/>
          <w:lang w:eastAsia="zh-CN"/>
        </w:rPr>
        <w:t>上</w:t>
      </w:r>
      <w:r>
        <w:rPr>
          <w:rFonts w:hint="eastAsia" w:ascii="仿宋" w:hAnsi="仿宋" w:eastAsia="仿宋" w:cs="仿宋"/>
          <w:sz w:val="24"/>
          <w:highlight w:val="none"/>
        </w:rPr>
        <w:t>以招标公告形式发布。（网址：http://www</w:t>
      </w:r>
      <w:r>
        <w:rPr>
          <w:rFonts w:hint="eastAsia" w:ascii="仿宋" w:hAnsi="仿宋" w:eastAsia="仿宋" w:cs="仿宋"/>
          <w:color w:val="auto"/>
          <w:kern w:val="0"/>
          <w:sz w:val="24"/>
          <w:szCs w:val="24"/>
          <w:highlight w:val="none"/>
          <w:shd w:val="clear" w:color="auto" w:fill="auto"/>
          <w:lang w:val="en-US" w:eastAsia="zh-CN" w:bidi="ar"/>
        </w:rPr>
        <w:t>.scbid.com</w:t>
      </w:r>
      <w:r>
        <w:rPr>
          <w:rFonts w:hint="eastAsia" w:ascii="仿宋" w:hAnsi="仿宋" w:eastAsia="仿宋" w:cs="仿宋"/>
          <w:sz w:val="24"/>
          <w:highlight w:val="none"/>
        </w:rPr>
        <w:t>）</w:t>
      </w:r>
      <w:r>
        <w:rPr>
          <w:rFonts w:hint="eastAsia" w:ascii="仿宋" w:hAnsi="仿宋" w:eastAsia="仿宋" w:cs="仿宋"/>
          <w:bCs/>
          <w:sz w:val="24"/>
          <w:szCs w:val="24"/>
          <w:highlight w:val="none"/>
        </w:rPr>
        <w:t>上以公告形式发布。</w:t>
      </w:r>
    </w:p>
    <w:p w14:paraId="57343DA8">
      <w:pPr>
        <w:spacing w:after="120"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四、投标人参加本次招标活动应具备下列条件</w:t>
      </w:r>
    </w:p>
    <w:p w14:paraId="3C694312">
      <w:pPr>
        <w:pStyle w:val="31"/>
        <w:ind w:firstLine="600" w:firstLineChars="250"/>
        <w:rPr>
          <w:rFonts w:hint="eastAsia" w:ascii="仿宋" w:hAnsi="仿宋" w:eastAsia="仿宋" w:cs="仿宋"/>
          <w:sz w:val="24"/>
          <w:szCs w:val="24"/>
          <w:highlight w:val="none"/>
        </w:rPr>
      </w:pPr>
      <w:r>
        <w:rPr>
          <w:rFonts w:hint="eastAsia" w:ascii="仿宋" w:hAnsi="仿宋" w:eastAsia="仿宋" w:cs="仿宋"/>
          <w:sz w:val="24"/>
          <w:szCs w:val="24"/>
          <w:highlight w:val="none"/>
        </w:rPr>
        <w:t>详见公开招标文件第三章。</w:t>
      </w:r>
    </w:p>
    <w:p w14:paraId="1799891F">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五、招标文件获取方式、时间、地点</w:t>
      </w:r>
    </w:p>
    <w:p w14:paraId="4D85E60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招标文件自202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03</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日9:00至202</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03</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19</w:t>
      </w:r>
      <w:r>
        <w:rPr>
          <w:rFonts w:hint="eastAsia" w:ascii="仿宋" w:hAnsi="仿宋" w:eastAsia="仿宋" w:cs="仿宋"/>
          <w:sz w:val="24"/>
          <w:szCs w:val="24"/>
          <w:highlight w:val="none"/>
        </w:rPr>
        <w:t>日17:00（北京时间，法定节假日除外）在</w:t>
      </w:r>
      <w:r>
        <w:rPr>
          <w:rFonts w:hint="eastAsia" w:ascii="仿宋" w:hAnsi="仿宋" w:eastAsia="仿宋" w:cs="仿宋"/>
          <w:color w:val="auto"/>
          <w:sz w:val="24"/>
          <w:szCs w:val="24"/>
          <w:highlight w:val="none"/>
          <w:u w:val="single"/>
          <w:lang w:eastAsia="zh-CN"/>
        </w:rPr>
        <w:t>四川中采项目管理有限公司（</w:t>
      </w:r>
      <w:r>
        <w:rPr>
          <w:rFonts w:hint="eastAsia" w:ascii="仿宋" w:hAnsi="仿宋" w:eastAsia="仿宋" w:cs="仿宋"/>
          <w:color w:val="auto"/>
          <w:sz w:val="24"/>
          <w:szCs w:val="24"/>
          <w:highlight w:val="none"/>
          <w:u w:val="single"/>
          <w:lang w:val="zh-CN" w:eastAsia="zh-CN"/>
        </w:rPr>
        <w:t>自贡市自流井区丹阳街2号普润电商博览城一期A8-3-40-43 ）</w:t>
      </w:r>
      <w:r>
        <w:rPr>
          <w:rFonts w:hint="eastAsia" w:ascii="仿宋" w:hAnsi="仿宋" w:eastAsia="仿宋" w:cs="仿宋"/>
          <w:sz w:val="24"/>
          <w:szCs w:val="24"/>
          <w:highlight w:val="none"/>
        </w:rPr>
        <w:t>现场获取</w:t>
      </w:r>
      <w:r>
        <w:rPr>
          <w:rFonts w:hint="eastAsia" w:ascii="仿宋" w:hAnsi="仿宋" w:eastAsia="仿宋" w:cs="仿宋"/>
          <w:sz w:val="24"/>
          <w:szCs w:val="24"/>
          <w:highlight w:val="none"/>
          <w:lang w:eastAsia="zh-CN"/>
        </w:rPr>
        <w:t>或自行登录</w:t>
      </w:r>
      <w:r>
        <w:rPr>
          <w:rFonts w:hint="eastAsia" w:ascii="仿宋" w:hAnsi="仿宋" w:eastAsia="仿宋" w:cs="仿宋"/>
          <w:color w:val="auto"/>
          <w:sz w:val="24"/>
          <w:highlight w:val="none"/>
          <w:shd w:val="clear" w:color="auto" w:fill="auto"/>
        </w:rPr>
        <w:t>四川</w:t>
      </w:r>
      <w:r>
        <w:rPr>
          <w:rFonts w:hint="eastAsia" w:ascii="仿宋" w:hAnsi="仿宋" w:eastAsia="仿宋" w:cs="仿宋"/>
          <w:color w:val="auto"/>
          <w:sz w:val="24"/>
          <w:highlight w:val="none"/>
          <w:shd w:val="clear" w:color="auto" w:fill="auto"/>
          <w:lang w:eastAsia="zh-CN"/>
        </w:rPr>
        <w:t>招投标</w:t>
      </w:r>
      <w:r>
        <w:rPr>
          <w:rFonts w:hint="eastAsia" w:ascii="仿宋" w:hAnsi="仿宋" w:eastAsia="仿宋" w:cs="仿宋"/>
          <w:color w:val="auto"/>
          <w:sz w:val="24"/>
          <w:highlight w:val="none"/>
          <w:shd w:val="clear" w:color="auto" w:fill="auto"/>
        </w:rPr>
        <w:t>网</w:t>
      </w:r>
      <w:r>
        <w:rPr>
          <w:rFonts w:hint="eastAsia" w:ascii="仿宋" w:hAnsi="仿宋" w:eastAsia="仿宋" w:cs="仿宋"/>
          <w:color w:val="auto"/>
          <w:sz w:val="24"/>
          <w:highlight w:val="none"/>
          <w:shd w:val="clear" w:color="auto" w:fill="auto"/>
          <w:lang w:eastAsia="zh-CN"/>
        </w:rPr>
        <w:t>获取</w:t>
      </w:r>
      <w:r>
        <w:rPr>
          <w:rFonts w:hint="eastAsia" w:ascii="仿宋" w:hAnsi="仿宋" w:eastAsia="仿宋" w:cs="仿宋"/>
          <w:sz w:val="24"/>
          <w:szCs w:val="24"/>
          <w:highlight w:val="none"/>
        </w:rPr>
        <w:t>。</w:t>
      </w:r>
    </w:p>
    <w:p w14:paraId="593C263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本项目招标文件</w:t>
      </w:r>
      <w:r>
        <w:rPr>
          <w:rFonts w:hint="eastAsia" w:ascii="仿宋" w:hAnsi="仿宋" w:eastAsia="仿宋" w:cs="仿宋"/>
          <w:sz w:val="24"/>
          <w:szCs w:val="24"/>
          <w:highlight w:val="none"/>
          <w:lang w:eastAsia="zh-CN"/>
        </w:rPr>
        <w:t>无</w:t>
      </w:r>
      <w:r>
        <w:rPr>
          <w:rFonts w:hint="eastAsia" w:ascii="仿宋" w:hAnsi="仿宋" w:eastAsia="仿宋" w:cs="仿宋"/>
          <w:sz w:val="24"/>
          <w:szCs w:val="24"/>
          <w:highlight w:val="none"/>
        </w:rPr>
        <w:t>偿获取（报名资格不能转让）。</w:t>
      </w:r>
    </w:p>
    <w:p w14:paraId="7B45653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邮购联系方式：请将报名资料电子版传至</w:t>
      </w:r>
      <w:r>
        <w:rPr>
          <w:rFonts w:hint="eastAsia" w:ascii="仿宋" w:hAnsi="仿宋" w:eastAsia="仿宋" w:cs="仿宋"/>
          <w:color w:val="auto"/>
          <w:sz w:val="24"/>
          <w:szCs w:val="24"/>
          <w:highlight w:val="none"/>
          <w:lang w:val="zh-CN"/>
        </w:rPr>
        <w:t xml:space="preserve">766107639@qq.com </w:t>
      </w:r>
      <w:r>
        <w:rPr>
          <w:rFonts w:hint="eastAsia" w:ascii="仿宋" w:hAnsi="仿宋" w:eastAsia="仿宋" w:cs="仿宋"/>
          <w:sz w:val="24"/>
          <w:szCs w:val="24"/>
          <w:highlight w:val="none"/>
        </w:rPr>
        <w:t>，联系电话：</w:t>
      </w:r>
      <w:r>
        <w:rPr>
          <w:rFonts w:hint="eastAsia" w:ascii="仿宋" w:hAnsi="仿宋" w:eastAsia="仿宋" w:cs="仿宋"/>
          <w:color w:val="auto"/>
          <w:sz w:val="24"/>
          <w:szCs w:val="24"/>
          <w:highlight w:val="none"/>
          <w:lang w:val="zh-CN"/>
        </w:rPr>
        <w:t>0813-8288814</w:t>
      </w:r>
      <w:r>
        <w:rPr>
          <w:rFonts w:hint="eastAsia" w:ascii="仿宋" w:hAnsi="仿宋" w:eastAsia="仿宋" w:cs="仿宋"/>
          <w:sz w:val="24"/>
          <w:szCs w:val="24"/>
          <w:highlight w:val="none"/>
        </w:rPr>
        <w:t>。</w:t>
      </w:r>
    </w:p>
    <w:p w14:paraId="4754427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获取招标文件时必须携带下列有效证明文件：</w:t>
      </w:r>
    </w:p>
    <w:p w14:paraId="6A9A7F6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获取招标文件时，投标人为法人或者其他组织的，须提供单位介绍信原件（加盖单位公章）、经办人身份证复印件（加盖单位公章），经办人身份证原件备查。</w:t>
      </w:r>
    </w:p>
    <w:p w14:paraId="2D3CEA6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b/>
          <w:bCs/>
          <w:sz w:val="24"/>
          <w:szCs w:val="24"/>
          <w:highlight w:val="none"/>
        </w:rPr>
        <w:t>注：投标人可以提前填写《投标人报名登记表》（详见第九章 附件1），在获取招标文件时交于报名处。</w:t>
      </w:r>
    </w:p>
    <w:p w14:paraId="5808BE7F">
      <w:pPr>
        <w:spacing w:after="120" w:line="360" w:lineRule="auto"/>
        <w:ind w:firstLine="480"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八、递交投标文件截止时间：</w:t>
      </w:r>
      <w:r>
        <w:rPr>
          <w:rFonts w:hint="eastAsia" w:ascii="仿宋" w:hAnsi="仿宋" w:eastAsia="仿宋" w:cs="仿宋"/>
          <w:bCs/>
          <w:sz w:val="24"/>
          <w:szCs w:val="24"/>
          <w:highlight w:val="none"/>
        </w:rPr>
        <w:t>202</w:t>
      </w: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rPr>
        <w:t>年</w:t>
      </w:r>
      <w:r>
        <w:rPr>
          <w:rFonts w:hint="eastAsia" w:ascii="仿宋" w:hAnsi="仿宋" w:eastAsia="仿宋" w:cs="仿宋"/>
          <w:bCs/>
          <w:sz w:val="24"/>
          <w:szCs w:val="24"/>
          <w:highlight w:val="none"/>
          <w:lang w:val="en-US" w:eastAsia="zh-CN"/>
        </w:rPr>
        <w:t>04</w:t>
      </w:r>
      <w:r>
        <w:rPr>
          <w:rFonts w:hint="eastAsia" w:ascii="仿宋" w:hAnsi="仿宋" w:eastAsia="仿宋" w:cs="仿宋"/>
          <w:bCs/>
          <w:sz w:val="24"/>
          <w:szCs w:val="24"/>
          <w:highlight w:val="none"/>
        </w:rPr>
        <w:t>月</w:t>
      </w:r>
      <w:r>
        <w:rPr>
          <w:rFonts w:hint="eastAsia" w:ascii="仿宋" w:hAnsi="仿宋" w:eastAsia="仿宋" w:cs="仿宋"/>
          <w:bCs/>
          <w:sz w:val="24"/>
          <w:szCs w:val="24"/>
          <w:highlight w:val="none"/>
          <w:lang w:val="en-US" w:eastAsia="zh-CN"/>
        </w:rPr>
        <w:t>01</w:t>
      </w:r>
      <w:r>
        <w:rPr>
          <w:rFonts w:hint="eastAsia" w:ascii="仿宋" w:hAnsi="仿宋" w:eastAsia="仿宋" w:cs="仿宋"/>
          <w:bCs/>
          <w:sz w:val="24"/>
          <w:szCs w:val="24"/>
          <w:highlight w:val="none"/>
        </w:rPr>
        <w:t>日</w:t>
      </w:r>
      <w:r>
        <w:rPr>
          <w:rFonts w:hint="eastAsia" w:ascii="仿宋" w:hAnsi="仿宋" w:eastAsia="仿宋" w:cs="仿宋"/>
          <w:bCs/>
          <w:sz w:val="24"/>
          <w:szCs w:val="24"/>
          <w:highlight w:val="none"/>
          <w:lang w:val="en-US" w:eastAsia="zh-CN"/>
        </w:rPr>
        <w:t>10</w:t>
      </w:r>
      <w:r>
        <w:rPr>
          <w:rFonts w:hint="eastAsia" w:ascii="仿宋" w:hAnsi="仿宋" w:eastAsia="仿宋" w:cs="仿宋"/>
          <w:bCs/>
          <w:sz w:val="24"/>
          <w:szCs w:val="24"/>
          <w:highlight w:val="none"/>
        </w:rPr>
        <w:t>:00</w:t>
      </w:r>
      <w:r>
        <w:rPr>
          <w:rFonts w:hint="eastAsia" w:ascii="仿宋" w:hAnsi="仿宋" w:eastAsia="仿宋" w:cs="仿宋"/>
          <w:sz w:val="24"/>
          <w:szCs w:val="24"/>
          <w:highlight w:val="none"/>
        </w:rPr>
        <w:t>（北京时间）。</w:t>
      </w:r>
    </w:p>
    <w:p w14:paraId="1EB85593">
      <w:pPr>
        <w:spacing w:after="120" w:line="360" w:lineRule="auto"/>
        <w:ind w:firstLine="480"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九、递交投标文件地点：</w:t>
      </w:r>
      <w:r>
        <w:rPr>
          <w:rFonts w:hint="eastAsia" w:ascii="仿宋" w:hAnsi="仿宋" w:eastAsia="仿宋" w:cs="仿宋"/>
          <w:sz w:val="24"/>
          <w:szCs w:val="24"/>
          <w:highlight w:val="none"/>
        </w:rPr>
        <w:t>投标文件必须在递交投标文件截止时间前送达开标地点。逾期送达、密封和标注错误的投标文件，采购代理机构恕不接收。本次招标不接收邮寄的投标文件。</w:t>
      </w:r>
    </w:p>
    <w:p w14:paraId="5D088D9C">
      <w:pPr>
        <w:spacing w:after="120" w:line="360" w:lineRule="auto"/>
        <w:ind w:firstLine="480"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十、投标文件开启时间：</w:t>
      </w:r>
      <w:r>
        <w:rPr>
          <w:rFonts w:hint="eastAsia" w:ascii="仿宋" w:hAnsi="仿宋" w:eastAsia="仿宋" w:cs="仿宋"/>
          <w:bCs/>
          <w:sz w:val="24"/>
          <w:szCs w:val="24"/>
          <w:highlight w:val="none"/>
        </w:rPr>
        <w:t>202</w:t>
      </w: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rPr>
        <w:t>年</w:t>
      </w:r>
      <w:r>
        <w:rPr>
          <w:rFonts w:hint="eastAsia" w:ascii="仿宋" w:hAnsi="仿宋" w:eastAsia="仿宋" w:cs="仿宋"/>
          <w:bCs/>
          <w:sz w:val="24"/>
          <w:szCs w:val="24"/>
          <w:highlight w:val="none"/>
          <w:lang w:val="en-US" w:eastAsia="zh-CN"/>
        </w:rPr>
        <w:t>04</w:t>
      </w:r>
      <w:r>
        <w:rPr>
          <w:rFonts w:hint="eastAsia" w:ascii="仿宋" w:hAnsi="仿宋" w:eastAsia="仿宋" w:cs="仿宋"/>
          <w:bCs/>
          <w:sz w:val="24"/>
          <w:szCs w:val="24"/>
          <w:highlight w:val="none"/>
        </w:rPr>
        <w:t>月</w:t>
      </w:r>
      <w:r>
        <w:rPr>
          <w:rFonts w:hint="eastAsia" w:ascii="仿宋" w:hAnsi="仿宋" w:eastAsia="仿宋" w:cs="仿宋"/>
          <w:bCs/>
          <w:sz w:val="24"/>
          <w:szCs w:val="24"/>
          <w:highlight w:val="none"/>
          <w:lang w:val="en-US" w:eastAsia="zh-CN"/>
        </w:rPr>
        <w:t>01</w:t>
      </w:r>
      <w:r>
        <w:rPr>
          <w:rFonts w:hint="eastAsia" w:ascii="仿宋" w:hAnsi="仿宋" w:eastAsia="仿宋" w:cs="仿宋"/>
          <w:bCs/>
          <w:sz w:val="24"/>
          <w:szCs w:val="24"/>
          <w:highlight w:val="none"/>
        </w:rPr>
        <w:t>日</w:t>
      </w:r>
      <w:r>
        <w:rPr>
          <w:rFonts w:hint="eastAsia" w:ascii="仿宋" w:hAnsi="仿宋" w:eastAsia="仿宋" w:cs="仿宋"/>
          <w:bCs/>
          <w:sz w:val="24"/>
          <w:szCs w:val="24"/>
          <w:highlight w:val="none"/>
          <w:lang w:val="en-US" w:eastAsia="zh-CN"/>
        </w:rPr>
        <w:t>10</w:t>
      </w:r>
      <w:r>
        <w:rPr>
          <w:rFonts w:hint="eastAsia" w:ascii="仿宋" w:hAnsi="仿宋" w:eastAsia="仿宋" w:cs="仿宋"/>
          <w:bCs/>
          <w:sz w:val="24"/>
          <w:szCs w:val="24"/>
          <w:highlight w:val="none"/>
        </w:rPr>
        <w:t>:00</w:t>
      </w:r>
      <w:r>
        <w:rPr>
          <w:rFonts w:hint="eastAsia" w:ascii="仿宋" w:hAnsi="仿宋" w:eastAsia="仿宋" w:cs="仿宋"/>
          <w:sz w:val="24"/>
          <w:szCs w:val="24"/>
          <w:highlight w:val="none"/>
        </w:rPr>
        <w:t>（北京时间）在招标地点开启。</w:t>
      </w:r>
    </w:p>
    <w:p w14:paraId="3D33C2D3">
      <w:pPr>
        <w:spacing w:line="360" w:lineRule="auto"/>
        <w:ind w:firstLine="487" w:firstLineChars="203"/>
        <w:rPr>
          <w:rFonts w:hint="eastAsia" w:ascii="仿宋" w:hAnsi="仿宋" w:eastAsia="仿宋" w:cs="仿宋"/>
          <w:sz w:val="24"/>
          <w:szCs w:val="24"/>
          <w:highlight w:val="none"/>
        </w:rPr>
      </w:pPr>
      <w:r>
        <w:rPr>
          <w:rFonts w:hint="eastAsia" w:ascii="仿宋" w:hAnsi="仿宋" w:eastAsia="仿宋" w:cs="仿宋"/>
          <w:b/>
          <w:sz w:val="24"/>
          <w:szCs w:val="24"/>
          <w:highlight w:val="none"/>
        </w:rPr>
        <w:t>十一、招标地点：</w:t>
      </w:r>
      <w:r>
        <w:rPr>
          <w:rFonts w:hint="eastAsia" w:ascii="仿宋" w:hAnsi="仿宋" w:eastAsia="仿宋" w:cs="仿宋"/>
          <w:color w:val="auto"/>
          <w:sz w:val="24"/>
          <w:szCs w:val="24"/>
          <w:highlight w:val="none"/>
          <w:u w:val="single"/>
          <w:lang w:val="zh-CN" w:eastAsia="zh-CN"/>
        </w:rPr>
        <w:t xml:space="preserve">自贡市自流井区丹阳街2号普润电商博览城一期A8-3-40-43 </w:t>
      </w:r>
      <w:r>
        <w:rPr>
          <w:rFonts w:hint="eastAsia" w:ascii="仿宋" w:hAnsi="仿宋" w:eastAsia="仿宋" w:cs="仿宋"/>
          <w:sz w:val="24"/>
          <w:szCs w:val="24"/>
          <w:highlight w:val="none"/>
        </w:rPr>
        <w:t>。</w:t>
      </w:r>
    </w:p>
    <w:p w14:paraId="601FC716">
      <w:pPr>
        <w:pStyle w:val="31"/>
        <w:ind w:firstLine="482"/>
        <w:rPr>
          <w:rFonts w:hint="eastAsia" w:ascii="仿宋" w:hAnsi="仿宋" w:eastAsia="仿宋" w:cs="仿宋"/>
          <w:b/>
          <w:sz w:val="24"/>
          <w:szCs w:val="24"/>
          <w:highlight w:val="none"/>
        </w:rPr>
      </w:pPr>
      <w:r>
        <w:rPr>
          <w:rFonts w:hint="eastAsia" w:ascii="仿宋" w:hAnsi="仿宋" w:eastAsia="仿宋" w:cs="仿宋"/>
          <w:b/>
          <w:sz w:val="24"/>
          <w:szCs w:val="24"/>
          <w:highlight w:val="none"/>
        </w:rPr>
        <w:t>十二、联系方式</w:t>
      </w:r>
    </w:p>
    <w:p w14:paraId="0E5A044C">
      <w:pPr>
        <w:spacing w:line="360" w:lineRule="auto"/>
        <w:ind w:right="680" w:rightChars="200"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采购人：富顺县中医医院</w:t>
      </w:r>
    </w:p>
    <w:p w14:paraId="20C7F4A3">
      <w:pPr>
        <w:spacing w:line="360" w:lineRule="auto"/>
        <w:ind w:right="680" w:rightChars="200"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eastAsia="zh-CN"/>
        </w:rPr>
        <w:t>聂老师</w:t>
      </w:r>
    </w:p>
    <w:p w14:paraId="79AC7365">
      <w:pPr>
        <w:spacing w:line="360" w:lineRule="auto"/>
        <w:ind w:right="680" w:rightChars="20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电  话：</w:t>
      </w:r>
      <w:r>
        <w:rPr>
          <w:rFonts w:hint="eastAsia" w:ascii="仿宋" w:hAnsi="仿宋" w:eastAsia="仿宋" w:cs="仿宋"/>
          <w:sz w:val="24"/>
          <w:szCs w:val="24"/>
          <w:highlight w:val="none"/>
          <w:lang w:val="en-US" w:eastAsia="zh-CN"/>
        </w:rPr>
        <w:t>0813-5197655</w:t>
      </w:r>
    </w:p>
    <w:p w14:paraId="0C2D9EAB">
      <w:pPr>
        <w:spacing w:line="360" w:lineRule="auto"/>
        <w:ind w:right="680" w:rightChars="200"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采购代理机构：</w:t>
      </w:r>
      <w:r>
        <w:rPr>
          <w:rFonts w:hint="eastAsia" w:ascii="仿宋" w:hAnsi="仿宋" w:eastAsia="仿宋" w:cs="仿宋"/>
          <w:sz w:val="24"/>
          <w:szCs w:val="24"/>
          <w:highlight w:val="none"/>
          <w:lang w:eastAsia="zh-CN"/>
        </w:rPr>
        <w:t>四川中采项目管理有限公司</w:t>
      </w:r>
    </w:p>
    <w:p w14:paraId="531B820E">
      <w:pPr>
        <w:keepNext w:val="0"/>
        <w:keepLines w:val="0"/>
        <w:pageBreakBefore w:val="0"/>
        <w:tabs>
          <w:tab w:val="left" w:pos="1080"/>
        </w:tabs>
        <w:kinsoku/>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bCs/>
          <w:color w:val="auto"/>
          <w:sz w:val="24"/>
          <w:highlight w:val="none"/>
          <w:lang w:val="zh-CN"/>
        </w:rPr>
        <w:t>自贡市自流井区丹阳街2号普润电商博览城一期A8-3-40-43</w:t>
      </w:r>
    </w:p>
    <w:p w14:paraId="7EEA9A42">
      <w:pPr>
        <w:keepNext w:val="0"/>
        <w:keepLines w:val="0"/>
        <w:pageBreakBefore w:val="0"/>
        <w:tabs>
          <w:tab w:val="left" w:pos="1080"/>
        </w:tabs>
        <w:kinsoku/>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bCs/>
          <w:color w:val="auto"/>
          <w:sz w:val="24"/>
          <w:highlight w:val="none"/>
          <w:lang w:val="zh-CN"/>
        </w:rPr>
        <w:t>汪女士</w:t>
      </w:r>
    </w:p>
    <w:p w14:paraId="10F3E5E4">
      <w:pPr>
        <w:pStyle w:val="31"/>
        <w:keepNext w:val="0"/>
        <w:keepLines w:val="0"/>
        <w:pageBreakBefore w:val="0"/>
        <w:kinsoku/>
        <w:overflowPunct/>
        <w:topLinePunct w:val="0"/>
        <w:autoSpaceDE/>
        <w:autoSpaceDN/>
        <w:bidi w:val="0"/>
        <w:adjustRightInd/>
        <w:snapToGrid/>
        <w:spacing w:line="48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  话：</w:t>
      </w:r>
      <w:r>
        <w:rPr>
          <w:rFonts w:hint="eastAsia" w:ascii="仿宋" w:hAnsi="仿宋" w:eastAsia="仿宋" w:cs="仿宋"/>
          <w:bCs/>
          <w:color w:val="auto"/>
          <w:sz w:val="24"/>
          <w:highlight w:val="none"/>
          <w:lang w:val="zh-CN"/>
        </w:rPr>
        <w:t>0813-</w:t>
      </w:r>
      <w:r>
        <w:rPr>
          <w:rFonts w:hint="eastAsia" w:ascii="仿宋" w:hAnsi="仿宋" w:eastAsia="仿宋" w:cs="仿宋"/>
          <w:bCs/>
          <w:color w:val="auto"/>
          <w:sz w:val="24"/>
          <w:highlight w:val="none"/>
          <w:lang w:val="en-US" w:eastAsia="zh-CN"/>
        </w:rPr>
        <w:t>8288814</w:t>
      </w:r>
      <w:r>
        <w:rPr>
          <w:rFonts w:hint="eastAsia" w:ascii="仿宋" w:hAnsi="仿宋" w:eastAsia="仿宋" w:cs="仿宋"/>
          <w:bCs/>
          <w:color w:val="auto"/>
          <w:sz w:val="24"/>
          <w:highlight w:val="none"/>
          <w:lang w:val="zh-CN"/>
        </w:rPr>
        <w:t xml:space="preserve"> </w:t>
      </w:r>
    </w:p>
    <w:p w14:paraId="2156566F">
      <w:pPr>
        <w:spacing w:line="360" w:lineRule="auto"/>
        <w:ind w:right="680" w:rightChars="200" w:firstLine="480" w:firstLineChars="200"/>
        <w:rPr>
          <w:rFonts w:hint="eastAsia" w:ascii="仿宋" w:hAnsi="仿宋" w:eastAsia="仿宋" w:cs="仿宋"/>
          <w:sz w:val="24"/>
          <w:szCs w:val="24"/>
          <w:highlight w:val="none"/>
        </w:rPr>
      </w:pPr>
    </w:p>
    <w:p w14:paraId="08BEF961">
      <w:pPr>
        <w:pStyle w:val="19"/>
        <w:spacing w:before="0" w:beforeAutospacing="0" w:after="0" w:afterAutospacing="0" w:line="360" w:lineRule="auto"/>
        <w:rPr>
          <w:rFonts w:hint="eastAsia" w:ascii="仿宋" w:hAnsi="仿宋" w:eastAsia="仿宋" w:cs="仿宋"/>
          <w:sz w:val="24"/>
          <w:szCs w:val="24"/>
          <w:highlight w:val="none"/>
        </w:rPr>
      </w:pPr>
    </w:p>
    <w:p w14:paraId="25F36F49">
      <w:pPr>
        <w:pStyle w:val="19"/>
        <w:spacing w:before="0" w:beforeAutospacing="0" w:after="0" w:afterAutospacing="0" w:line="360" w:lineRule="auto"/>
        <w:rPr>
          <w:rFonts w:hint="eastAsia" w:ascii="仿宋" w:hAnsi="仿宋" w:eastAsia="仿宋" w:cs="仿宋"/>
          <w:sz w:val="24"/>
          <w:szCs w:val="24"/>
          <w:highlight w:val="none"/>
        </w:rPr>
      </w:pPr>
    </w:p>
    <w:p w14:paraId="0452FB2B">
      <w:pPr>
        <w:pStyle w:val="19"/>
        <w:spacing w:before="0" w:beforeAutospacing="0" w:after="0" w:afterAutospacing="0" w:line="360" w:lineRule="auto"/>
        <w:rPr>
          <w:rFonts w:hint="eastAsia" w:ascii="仿宋" w:hAnsi="仿宋" w:eastAsia="仿宋" w:cs="仿宋"/>
          <w:sz w:val="24"/>
          <w:szCs w:val="24"/>
          <w:highlight w:val="none"/>
        </w:rPr>
      </w:pPr>
    </w:p>
    <w:p w14:paraId="644BA26E">
      <w:pPr>
        <w:pStyle w:val="19"/>
        <w:spacing w:before="0" w:beforeAutospacing="0" w:after="0" w:afterAutospacing="0" w:line="360" w:lineRule="auto"/>
        <w:rPr>
          <w:rFonts w:hint="eastAsia" w:ascii="仿宋" w:hAnsi="仿宋" w:eastAsia="仿宋" w:cs="仿宋"/>
          <w:sz w:val="24"/>
          <w:szCs w:val="24"/>
          <w:highlight w:val="none"/>
        </w:rPr>
      </w:pPr>
    </w:p>
    <w:p w14:paraId="083D92BB">
      <w:pPr>
        <w:pStyle w:val="19"/>
        <w:spacing w:before="0" w:beforeAutospacing="0" w:after="0" w:afterAutospacing="0" w:line="360" w:lineRule="auto"/>
        <w:rPr>
          <w:rFonts w:hint="eastAsia" w:ascii="仿宋" w:hAnsi="仿宋" w:eastAsia="仿宋" w:cs="仿宋"/>
          <w:sz w:val="24"/>
          <w:szCs w:val="24"/>
          <w:highlight w:val="none"/>
        </w:rPr>
      </w:pPr>
    </w:p>
    <w:p w14:paraId="65D6B736">
      <w:pPr>
        <w:pStyle w:val="19"/>
        <w:spacing w:before="0" w:beforeAutospacing="0" w:after="0" w:afterAutospacing="0" w:line="360" w:lineRule="auto"/>
        <w:rPr>
          <w:rFonts w:hint="eastAsia" w:ascii="仿宋" w:hAnsi="仿宋" w:eastAsia="仿宋" w:cs="仿宋"/>
          <w:sz w:val="24"/>
          <w:szCs w:val="24"/>
          <w:highlight w:val="none"/>
        </w:rPr>
      </w:pPr>
    </w:p>
    <w:p w14:paraId="3AE5A0BB">
      <w:pPr>
        <w:jc w:val="center"/>
        <w:rPr>
          <w:rFonts w:hint="eastAsia" w:ascii="仿宋" w:hAnsi="仿宋" w:eastAsia="仿宋" w:cs="仿宋"/>
          <w:b/>
          <w:bCs/>
          <w:sz w:val="36"/>
          <w:szCs w:val="36"/>
          <w:highlight w:val="none"/>
        </w:rPr>
      </w:pPr>
      <w:bookmarkStart w:id="13" w:name="_Toc213496267"/>
      <w:bookmarkStart w:id="14" w:name="_Toc213396945"/>
      <w:bookmarkStart w:id="15" w:name="_Toc213397009"/>
      <w:bookmarkStart w:id="16" w:name="_Toc217446031"/>
      <w:bookmarkStart w:id="17" w:name="_Toc20133"/>
      <w:bookmarkStart w:id="18" w:name="_Toc213396759"/>
      <w:r>
        <w:rPr>
          <w:rFonts w:hint="eastAsia" w:ascii="仿宋" w:hAnsi="仿宋" w:eastAsia="仿宋" w:cs="仿宋"/>
          <w:b/>
          <w:bCs/>
          <w:sz w:val="36"/>
          <w:szCs w:val="36"/>
          <w:highlight w:val="none"/>
        </w:rPr>
        <w:t>第二章  投标人须知</w:t>
      </w:r>
      <w:bookmarkEnd w:id="13"/>
      <w:bookmarkEnd w:id="14"/>
      <w:bookmarkEnd w:id="15"/>
      <w:bookmarkEnd w:id="16"/>
      <w:bookmarkEnd w:id="17"/>
      <w:bookmarkEnd w:id="18"/>
    </w:p>
    <w:p w14:paraId="09BDB6DF">
      <w:pPr>
        <w:pStyle w:val="5"/>
        <w:keepNext w:val="0"/>
        <w:keepLines w:val="0"/>
        <w:spacing w:line="360" w:lineRule="auto"/>
        <w:jc w:val="center"/>
        <w:rPr>
          <w:rFonts w:hint="eastAsia" w:ascii="仿宋" w:hAnsi="仿宋" w:eastAsia="仿宋" w:cs="仿宋"/>
          <w:sz w:val="24"/>
          <w:szCs w:val="24"/>
          <w:highlight w:val="none"/>
        </w:rPr>
      </w:pPr>
      <w:bookmarkStart w:id="19" w:name="_Toc27148"/>
      <w:r>
        <w:rPr>
          <w:rFonts w:hint="eastAsia" w:ascii="仿宋" w:hAnsi="仿宋" w:eastAsia="仿宋" w:cs="仿宋"/>
          <w:sz w:val="28"/>
          <w:szCs w:val="28"/>
          <w:highlight w:val="none"/>
        </w:rPr>
        <w:t>一、</w:t>
      </w:r>
      <w:bookmarkStart w:id="20" w:name="OLE_LINK18"/>
      <w:r>
        <w:rPr>
          <w:rFonts w:hint="eastAsia" w:ascii="仿宋" w:hAnsi="仿宋" w:eastAsia="仿宋" w:cs="仿宋"/>
          <w:sz w:val="28"/>
          <w:szCs w:val="28"/>
          <w:highlight w:val="none"/>
        </w:rPr>
        <w:t>投标人须知附表</w:t>
      </w:r>
      <w:bookmarkEnd w:id="19"/>
      <w:bookmarkEnd w:id="20"/>
    </w:p>
    <w:tbl>
      <w:tblPr>
        <w:tblStyle w:val="22"/>
        <w:tblW w:w="962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725"/>
        <w:gridCol w:w="1907"/>
        <w:gridCol w:w="6994"/>
      </w:tblGrid>
      <w:tr w14:paraId="3B89673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4" w:hRule="atLeast"/>
          <w:tblHeader/>
          <w:jc w:val="center"/>
        </w:trPr>
        <w:tc>
          <w:tcPr>
            <w:tcW w:w="725" w:type="dxa"/>
            <w:tcBorders>
              <w:tl2br w:val="nil"/>
              <w:tr2bl w:val="nil"/>
            </w:tcBorders>
            <w:shd w:val="clear" w:color="auto" w:fill="D7D7D7" w:themeFill="background1" w:themeFillShade="D8"/>
            <w:vAlign w:val="center"/>
          </w:tcPr>
          <w:p w14:paraId="77BF166D">
            <w:pPr>
              <w:pStyle w:val="30"/>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 xml:space="preserve">序号 </w:t>
            </w:r>
          </w:p>
        </w:tc>
        <w:tc>
          <w:tcPr>
            <w:tcW w:w="1907" w:type="dxa"/>
            <w:tcBorders>
              <w:tl2br w:val="nil"/>
              <w:tr2bl w:val="nil"/>
            </w:tcBorders>
            <w:shd w:val="clear" w:color="auto" w:fill="D7D7D7" w:themeFill="background1" w:themeFillShade="D8"/>
            <w:vAlign w:val="center"/>
          </w:tcPr>
          <w:p w14:paraId="278FE93C">
            <w:pPr>
              <w:pStyle w:val="30"/>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 xml:space="preserve">应知事项 </w:t>
            </w:r>
          </w:p>
        </w:tc>
        <w:tc>
          <w:tcPr>
            <w:tcW w:w="6994" w:type="dxa"/>
            <w:tcBorders>
              <w:tl2br w:val="nil"/>
              <w:tr2bl w:val="nil"/>
            </w:tcBorders>
            <w:shd w:val="clear" w:color="auto" w:fill="D7D7D7" w:themeFill="background1" w:themeFillShade="D8"/>
            <w:vAlign w:val="center"/>
          </w:tcPr>
          <w:p w14:paraId="5536051A">
            <w:pPr>
              <w:pStyle w:val="30"/>
              <w:jc w:val="center"/>
              <w:rPr>
                <w:rFonts w:hint="eastAsia" w:ascii="仿宋" w:hAnsi="仿宋" w:eastAsia="仿宋" w:cs="仿宋"/>
                <w:b/>
                <w:bCs/>
                <w:color w:val="auto"/>
                <w:highlight w:val="none"/>
                <w:lang w:val="zh-CN"/>
              </w:rPr>
            </w:pPr>
            <w:r>
              <w:rPr>
                <w:rFonts w:hint="eastAsia" w:ascii="仿宋" w:hAnsi="仿宋" w:eastAsia="仿宋" w:cs="仿宋"/>
                <w:b/>
                <w:bCs/>
                <w:color w:val="auto"/>
                <w:highlight w:val="none"/>
                <w:lang w:val="zh-CN"/>
              </w:rPr>
              <w:t>说明和要求</w:t>
            </w:r>
          </w:p>
        </w:tc>
      </w:tr>
      <w:tr w14:paraId="3BCFDD9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14:paraId="57D58688">
            <w:pPr>
              <w:pStyle w:val="30"/>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1</w:t>
            </w:r>
          </w:p>
        </w:tc>
        <w:tc>
          <w:tcPr>
            <w:tcW w:w="1907" w:type="dxa"/>
            <w:tcBorders>
              <w:tl2br w:val="nil"/>
              <w:tr2bl w:val="nil"/>
            </w:tcBorders>
            <w:vAlign w:val="center"/>
          </w:tcPr>
          <w:p w14:paraId="152B6EBA">
            <w:pPr>
              <w:pStyle w:val="30"/>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采购预算</w:t>
            </w:r>
          </w:p>
        </w:tc>
        <w:tc>
          <w:tcPr>
            <w:tcW w:w="6994" w:type="dxa"/>
            <w:tcBorders>
              <w:tl2br w:val="nil"/>
              <w:tr2bl w:val="nil"/>
            </w:tcBorders>
          </w:tcPr>
          <w:p w14:paraId="3C1C0D4B">
            <w:pPr>
              <w:kinsoku w:val="0"/>
              <w:overflowPunct w:val="0"/>
              <w:autoSpaceDE w:val="0"/>
              <w:autoSpaceDN w:val="0"/>
              <w:snapToGrid w:val="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采购预算：</w:t>
            </w:r>
          </w:p>
          <w:p w14:paraId="370B2C42">
            <w:pPr>
              <w:pStyle w:val="30"/>
              <w:jc w:val="both"/>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4153831.30元（大写：肆佰壹拾伍万叁仟捌佰叁拾壹元叁角整）</w:t>
            </w:r>
          </w:p>
          <w:p w14:paraId="26B63BB5">
            <w:pPr>
              <w:pStyle w:val="3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超过采购预算的报价无效。</w:t>
            </w:r>
          </w:p>
          <w:p w14:paraId="792FDCB4">
            <w:pPr>
              <w:pStyle w:val="30"/>
              <w:jc w:val="both"/>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rPr>
              <w:t>其中：</w:t>
            </w:r>
            <w:r>
              <w:rPr>
                <w:rFonts w:hint="eastAsia" w:ascii="仿宋" w:hAnsi="仿宋" w:eastAsia="仿宋" w:cs="仿宋"/>
                <w:color w:val="auto"/>
                <w:highlight w:val="none"/>
                <w:lang w:val="zh-CN" w:eastAsia="zh-CN"/>
              </w:rPr>
              <w:t>第一包：200526.00元（大写：贰拾万零伍佰贰拾陆元整）；</w:t>
            </w:r>
          </w:p>
          <w:p w14:paraId="6A900F73">
            <w:pPr>
              <w:pStyle w:val="30"/>
              <w:jc w:val="both"/>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第二包：108000.00元（大写：壹拾万零捌仟元整）；</w:t>
            </w:r>
          </w:p>
          <w:p w14:paraId="464FAEC0">
            <w:pPr>
              <w:pStyle w:val="30"/>
              <w:jc w:val="both"/>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第三包：105168.00元（大写：壹拾万零伍仟壹佰陆拾捌元整）；</w:t>
            </w:r>
          </w:p>
          <w:p w14:paraId="1738E21E">
            <w:pPr>
              <w:pStyle w:val="30"/>
              <w:jc w:val="both"/>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第四包：139294.28元（大写：壹拾叁万玖仟贰佰玖拾肆元贰角捌分）；</w:t>
            </w:r>
          </w:p>
          <w:p w14:paraId="4AC66D0A">
            <w:pPr>
              <w:pStyle w:val="30"/>
              <w:jc w:val="both"/>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第五包：188212.00元（大写：壹拾捌万捌仟贰佰壹拾贰元整）；</w:t>
            </w:r>
          </w:p>
          <w:p w14:paraId="6A3ED977">
            <w:pPr>
              <w:pStyle w:val="30"/>
              <w:jc w:val="both"/>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第六包：120864.00元（大写：壹拾贰万零捌佰陆拾肆元整）；</w:t>
            </w:r>
          </w:p>
          <w:p w14:paraId="6D12FBCE">
            <w:pPr>
              <w:pStyle w:val="3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eastAsia="zh-CN"/>
              </w:rPr>
              <w:t>第七包：521879.24元（大写：伍拾贰万壹仟捌佰柒拾玖元贰角肆分）</w:t>
            </w:r>
          </w:p>
        </w:tc>
      </w:tr>
      <w:tr w14:paraId="4BAE284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14:paraId="6FD7E16A">
            <w:pPr>
              <w:pStyle w:val="30"/>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2</w:t>
            </w:r>
          </w:p>
        </w:tc>
        <w:tc>
          <w:tcPr>
            <w:tcW w:w="1907" w:type="dxa"/>
            <w:tcBorders>
              <w:tl2br w:val="nil"/>
              <w:tr2bl w:val="nil"/>
            </w:tcBorders>
            <w:vAlign w:val="center"/>
          </w:tcPr>
          <w:p w14:paraId="41358034">
            <w:pPr>
              <w:pStyle w:val="30"/>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最高限价</w:t>
            </w:r>
          </w:p>
        </w:tc>
        <w:tc>
          <w:tcPr>
            <w:tcW w:w="6994" w:type="dxa"/>
            <w:tcBorders>
              <w:tl2br w:val="nil"/>
              <w:tr2bl w:val="nil"/>
            </w:tcBorders>
            <w:vAlign w:val="center"/>
          </w:tcPr>
          <w:p w14:paraId="3DF9263F">
            <w:pPr>
              <w:pStyle w:val="30"/>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本次采购最高限价：</w:t>
            </w:r>
          </w:p>
          <w:p w14:paraId="04ED9468">
            <w:pPr>
              <w:kinsoku w:val="0"/>
              <w:overflowPunct w:val="0"/>
              <w:autoSpaceDE w:val="0"/>
              <w:autoSpaceDN w:val="0"/>
              <w:snapToGrid w:val="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详见第五章二、项目</w:t>
            </w:r>
            <w:r>
              <w:rPr>
                <w:rFonts w:hint="eastAsia" w:ascii="仿宋" w:hAnsi="仿宋" w:eastAsia="仿宋" w:cs="仿宋"/>
                <w:color w:val="auto"/>
                <w:sz w:val="24"/>
                <w:szCs w:val="24"/>
                <w:highlight w:val="none"/>
                <w:lang w:eastAsia="zh-CN"/>
              </w:rPr>
              <w:t>清单</w:t>
            </w:r>
            <w:r>
              <w:rPr>
                <w:rFonts w:hint="eastAsia" w:ascii="仿宋" w:hAnsi="仿宋" w:eastAsia="仿宋" w:cs="仿宋"/>
                <w:color w:val="auto"/>
                <w:sz w:val="24"/>
                <w:szCs w:val="24"/>
                <w:highlight w:val="none"/>
              </w:rPr>
              <w:t>及技术参数要求限价；</w:t>
            </w:r>
          </w:p>
          <w:p w14:paraId="433AE3FF">
            <w:pPr>
              <w:pStyle w:val="30"/>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超过最高限价的报价无效。</w:t>
            </w:r>
          </w:p>
        </w:tc>
      </w:tr>
      <w:tr w14:paraId="67F39F3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2" w:hRule="atLeast"/>
          <w:jc w:val="center"/>
        </w:trPr>
        <w:tc>
          <w:tcPr>
            <w:tcW w:w="725" w:type="dxa"/>
            <w:tcBorders>
              <w:tl2br w:val="nil"/>
              <w:tr2bl w:val="nil"/>
            </w:tcBorders>
            <w:vAlign w:val="center"/>
          </w:tcPr>
          <w:p w14:paraId="49F5DB35">
            <w:pPr>
              <w:pStyle w:val="30"/>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3</w:t>
            </w:r>
          </w:p>
        </w:tc>
        <w:tc>
          <w:tcPr>
            <w:tcW w:w="1907" w:type="dxa"/>
            <w:tcBorders>
              <w:tl2br w:val="nil"/>
              <w:tr2bl w:val="nil"/>
            </w:tcBorders>
            <w:vAlign w:val="center"/>
          </w:tcPr>
          <w:p w14:paraId="20A1FB0B">
            <w:pPr>
              <w:pStyle w:val="30"/>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联合体</w:t>
            </w:r>
          </w:p>
        </w:tc>
        <w:tc>
          <w:tcPr>
            <w:tcW w:w="6994" w:type="dxa"/>
            <w:tcBorders>
              <w:tl2br w:val="nil"/>
              <w:tr2bl w:val="nil"/>
            </w:tcBorders>
            <w:vAlign w:val="center"/>
          </w:tcPr>
          <w:p w14:paraId="6A5E8687">
            <w:pPr>
              <w:pStyle w:val="30"/>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不允许联合体。</w:t>
            </w:r>
          </w:p>
        </w:tc>
      </w:tr>
      <w:tr w14:paraId="481207B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14:paraId="7B2B3EB6">
            <w:pPr>
              <w:pStyle w:val="30"/>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4</w:t>
            </w:r>
          </w:p>
        </w:tc>
        <w:tc>
          <w:tcPr>
            <w:tcW w:w="1907" w:type="dxa"/>
            <w:tcBorders>
              <w:tl2br w:val="nil"/>
              <w:tr2bl w:val="nil"/>
            </w:tcBorders>
            <w:vAlign w:val="center"/>
          </w:tcPr>
          <w:p w14:paraId="40FBA298">
            <w:pPr>
              <w:pStyle w:val="30"/>
              <w:jc w:val="center"/>
              <w:rPr>
                <w:rFonts w:hint="eastAsia" w:ascii="仿宋" w:hAnsi="仿宋" w:eastAsia="仿宋" w:cs="仿宋"/>
                <w:color w:val="auto"/>
                <w:highlight w:val="none"/>
              </w:rPr>
            </w:pPr>
            <w:r>
              <w:rPr>
                <w:rFonts w:hint="eastAsia" w:ascii="仿宋" w:hAnsi="仿宋" w:eastAsia="仿宋" w:cs="仿宋"/>
                <w:color w:val="auto"/>
                <w:highlight w:val="none"/>
              </w:rPr>
              <w:t>低于成本价</w:t>
            </w:r>
          </w:p>
          <w:p w14:paraId="580BCD31">
            <w:pPr>
              <w:pStyle w:val="30"/>
              <w:jc w:val="center"/>
              <w:rPr>
                <w:rFonts w:hint="eastAsia" w:ascii="仿宋" w:hAnsi="仿宋" w:eastAsia="仿宋" w:cs="仿宋"/>
                <w:color w:val="auto"/>
                <w:highlight w:val="none"/>
              </w:rPr>
            </w:pPr>
            <w:r>
              <w:rPr>
                <w:rFonts w:hint="eastAsia" w:ascii="仿宋" w:hAnsi="仿宋" w:eastAsia="仿宋" w:cs="仿宋"/>
                <w:color w:val="auto"/>
                <w:highlight w:val="none"/>
              </w:rPr>
              <w:t>不正当竞争预防措施</w:t>
            </w:r>
          </w:p>
        </w:tc>
        <w:tc>
          <w:tcPr>
            <w:tcW w:w="6994" w:type="dxa"/>
            <w:tcBorders>
              <w:tl2br w:val="nil"/>
              <w:tr2bl w:val="nil"/>
            </w:tcBorders>
            <w:vAlign w:val="center"/>
          </w:tcPr>
          <w:p w14:paraId="3475B001">
            <w:pPr>
              <w:pStyle w:val="30"/>
              <w:ind w:firstLine="240" w:firstLineChars="100"/>
              <w:jc w:val="both"/>
              <w:rPr>
                <w:rFonts w:hint="eastAsia" w:ascii="仿宋" w:hAnsi="仿宋" w:eastAsia="仿宋" w:cs="仿宋"/>
                <w:color w:val="auto"/>
                <w:highlight w:val="none"/>
              </w:rPr>
            </w:pPr>
            <w:r>
              <w:rPr>
                <w:rFonts w:hint="eastAsia" w:ascii="仿宋" w:hAnsi="仿宋" w:eastAsia="仿宋" w:cs="仿宋"/>
                <w:color w:val="auto"/>
                <w:highlight w:val="none"/>
                <w:lang w:val="zh-CN"/>
              </w:rPr>
              <w:t>1. 在评标过程中，评标委员会认为投标人的报价明显低于其他通过符合性审查投标人的报价，有可能影响产品质量或者不能 诚信履约的，评标委员会应当要求其在评标现场合理的时间内提 供成本构成书面说明，并提交相关证明材料。 投标人书面说明应当按照国家财务会计制度的规定要求，逐项 就投标人提供的货物、工程和服务的主营业务成本（应根据投标 人企业类型予以区别）、税金及附加、销售费用、管理费用、财 务费用等成本构成事项详细陈述。 2.投标人书面说明应当签字确认或者加盖公章，否则无效。书 面说明的签字确认，投标人为法人的，由其法定代表人或者代理 人签字确认；投标人为其他组织的，由其单位负责人或者代理人 签字确认；投标人为自然人的，由其本人或者代理人签字确认。 3.投标人提供书面说明后，评标委员会应当结合采购项目采购 需求、专业实际情况、投标人财务状况报告、与其他投标人比较 情况等就投标人书面说明进行审查评价。投标人拒绝或者变相拒 绝提供有效书面说明或者书面说明不能证明其报价合理性的，评 标委员会应当将其投标文件作为无效处理。</w:t>
            </w:r>
          </w:p>
        </w:tc>
      </w:tr>
      <w:tr w14:paraId="31F17C2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725" w:type="dxa"/>
            <w:tcBorders>
              <w:tl2br w:val="nil"/>
              <w:tr2bl w:val="nil"/>
            </w:tcBorders>
            <w:vAlign w:val="center"/>
          </w:tcPr>
          <w:p w14:paraId="2127B9B1">
            <w:pPr>
              <w:pStyle w:val="30"/>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1907" w:type="dxa"/>
            <w:tcBorders>
              <w:tl2br w:val="nil"/>
              <w:tr2bl w:val="nil"/>
            </w:tcBorders>
            <w:vAlign w:val="center"/>
          </w:tcPr>
          <w:p w14:paraId="00C6BDC6">
            <w:pPr>
              <w:pStyle w:val="30"/>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履约保证金</w:t>
            </w:r>
          </w:p>
        </w:tc>
        <w:tc>
          <w:tcPr>
            <w:tcW w:w="6994" w:type="dxa"/>
            <w:tcBorders>
              <w:tl2br w:val="nil"/>
              <w:tr2bl w:val="nil"/>
            </w:tcBorders>
            <w:vAlign w:val="center"/>
          </w:tcPr>
          <w:p w14:paraId="624DEB11">
            <w:pPr>
              <w:pStyle w:val="30"/>
              <w:jc w:val="both"/>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收取履约保证金：1、履约保证金金额：合同金额的 1%。</w:t>
            </w:r>
            <w:r>
              <w:rPr>
                <w:rFonts w:hint="eastAsia" w:ascii="仿宋" w:hAnsi="仿宋" w:eastAsia="仿宋" w:cs="仿宋"/>
                <w:color w:val="auto"/>
                <w:highlight w:val="none"/>
                <w:lang w:val="zh-CN" w:eastAsia="zh-CN"/>
              </w:rPr>
              <w:br w:type="textWrapping"/>
            </w:r>
            <w:r>
              <w:rPr>
                <w:rFonts w:hint="eastAsia" w:ascii="仿宋" w:hAnsi="仿宋" w:eastAsia="仿宋" w:cs="仿宋"/>
                <w:color w:val="auto"/>
                <w:highlight w:val="none"/>
                <w:lang w:val="zh-CN" w:eastAsia="zh-CN"/>
              </w:rPr>
              <w:t>2、履约保证金缴纳形式：中标人自行选择以支票、汇票、本票或者金融机构、担保机构出具的保函等非现金形式在合同签订前提交。</w:t>
            </w:r>
            <w:r>
              <w:rPr>
                <w:rFonts w:hint="eastAsia" w:ascii="仿宋" w:hAnsi="仿宋" w:eastAsia="仿宋" w:cs="仿宋"/>
                <w:color w:val="auto"/>
                <w:highlight w:val="none"/>
                <w:lang w:val="zh-CN" w:eastAsia="zh-CN"/>
              </w:rPr>
              <w:br w:type="textWrapping"/>
            </w:r>
            <w:r>
              <w:rPr>
                <w:rFonts w:hint="eastAsia" w:ascii="仿宋" w:hAnsi="仿宋" w:eastAsia="仿宋" w:cs="仿宋"/>
                <w:color w:val="auto"/>
                <w:highlight w:val="none"/>
                <w:lang w:val="zh-CN" w:eastAsia="zh-CN"/>
              </w:rPr>
              <w:t>银行账户信息如下：</w:t>
            </w:r>
            <w:r>
              <w:rPr>
                <w:rFonts w:hint="eastAsia" w:ascii="仿宋" w:hAnsi="仿宋" w:eastAsia="仿宋" w:cs="仿宋"/>
                <w:color w:val="auto"/>
                <w:highlight w:val="none"/>
                <w:lang w:val="zh-CN" w:eastAsia="zh-CN"/>
              </w:rPr>
              <w:br w:type="textWrapping"/>
            </w:r>
            <w:r>
              <w:rPr>
                <w:rFonts w:hint="eastAsia" w:ascii="仿宋" w:hAnsi="仿宋" w:eastAsia="仿宋" w:cs="仿宋"/>
                <w:color w:val="auto"/>
                <w:highlight w:val="none"/>
                <w:lang w:val="zh-CN" w:eastAsia="zh-CN"/>
              </w:rPr>
              <w:t>账户名：富顺县中医医院</w:t>
            </w:r>
            <w:r>
              <w:rPr>
                <w:rFonts w:hint="eastAsia" w:ascii="仿宋" w:hAnsi="仿宋" w:eastAsia="仿宋" w:cs="仿宋"/>
                <w:color w:val="auto"/>
                <w:highlight w:val="none"/>
                <w:lang w:val="zh-CN" w:eastAsia="zh-CN"/>
              </w:rPr>
              <w:br w:type="textWrapping"/>
            </w:r>
            <w:r>
              <w:rPr>
                <w:rFonts w:hint="eastAsia" w:ascii="仿宋" w:hAnsi="仿宋" w:eastAsia="仿宋" w:cs="仿宋"/>
                <w:color w:val="auto"/>
                <w:highlight w:val="none"/>
                <w:lang w:val="zh-CN" w:eastAsia="zh-CN"/>
              </w:rPr>
              <w:t>账号：11820120000037316</w:t>
            </w:r>
            <w:r>
              <w:rPr>
                <w:rFonts w:hint="eastAsia" w:ascii="仿宋" w:hAnsi="仿宋" w:eastAsia="仿宋" w:cs="仿宋"/>
                <w:color w:val="auto"/>
                <w:highlight w:val="none"/>
                <w:lang w:val="zh-CN" w:eastAsia="zh-CN"/>
              </w:rPr>
              <w:br w:type="textWrapping"/>
            </w:r>
            <w:r>
              <w:rPr>
                <w:rFonts w:hint="eastAsia" w:ascii="仿宋" w:hAnsi="仿宋" w:eastAsia="仿宋" w:cs="仿宋"/>
                <w:color w:val="auto"/>
                <w:highlight w:val="none"/>
                <w:lang w:val="zh-CN" w:eastAsia="zh-CN"/>
              </w:rPr>
              <w:t>开户行：四川富顺农村商业银行股份有限公司营业部</w:t>
            </w:r>
          </w:p>
          <w:p w14:paraId="5DED1BA4">
            <w:pPr>
              <w:pStyle w:val="30"/>
              <w:jc w:val="both"/>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应注明（项目名称、项目编号）履约保证金。</w:t>
            </w:r>
          </w:p>
          <w:p w14:paraId="6337EC34">
            <w:pPr>
              <w:pStyle w:val="30"/>
              <w:jc w:val="both"/>
              <w:rPr>
                <w:rFonts w:hint="eastAsia" w:ascii="仿宋" w:hAnsi="仿宋" w:eastAsia="仿宋" w:cs="仿宋"/>
                <w:color w:val="auto"/>
                <w:highlight w:val="none"/>
                <w:lang w:val="zh-CN" w:eastAsia="zh-CN"/>
              </w:rPr>
            </w:pPr>
            <w:r>
              <w:rPr>
                <w:rFonts w:hint="eastAsia" w:ascii="仿宋" w:hAnsi="仿宋" w:eastAsia="仿宋" w:cs="仿宋"/>
                <w:color w:val="auto"/>
                <w:highlight w:val="none"/>
                <w:lang w:val="zh-CN" w:eastAsia="zh-CN"/>
              </w:rPr>
              <w:t>履约保证金退还：耗材供货后6个月，货物无任何质量问题且中标人履行了售后服务义务，采购人凭中标人提供的退还履约保证金申请无息退还履约保证金。</w:t>
            </w:r>
            <w:r>
              <w:rPr>
                <w:rFonts w:hint="eastAsia" w:ascii="仿宋" w:hAnsi="仿宋" w:eastAsia="仿宋" w:cs="仿宋"/>
                <w:color w:val="auto"/>
                <w:highlight w:val="none"/>
                <w:lang w:val="zh-CN" w:eastAsia="zh-CN"/>
              </w:rPr>
              <w:br w:type="textWrapping"/>
            </w:r>
            <w:r>
              <w:rPr>
                <w:rFonts w:hint="eastAsia" w:ascii="仿宋" w:hAnsi="仿宋" w:eastAsia="仿宋" w:cs="仿宋"/>
                <w:color w:val="auto"/>
                <w:highlight w:val="none"/>
                <w:lang w:val="zh-CN" w:eastAsia="zh-CN"/>
              </w:rPr>
              <w:t>履约保证金不予退还情形：未按合同履约不退还。采用非保函形式缴纳的履约保证金在 15 个工作日内无息返还，采用保函形式缴纳的履约保证金在担保有效期后，担保责任终止。</w:t>
            </w:r>
            <w:r>
              <w:rPr>
                <w:rFonts w:hint="eastAsia" w:ascii="仿宋" w:hAnsi="仿宋" w:eastAsia="仿宋" w:cs="仿宋"/>
                <w:color w:val="auto"/>
                <w:highlight w:val="none"/>
                <w:lang w:val="zh-CN" w:eastAsia="zh-CN"/>
              </w:rPr>
              <w:br w:type="textWrapping"/>
            </w:r>
            <w:r>
              <w:rPr>
                <w:rFonts w:hint="eastAsia" w:ascii="仿宋" w:hAnsi="仿宋" w:eastAsia="仿宋" w:cs="仿宋"/>
                <w:color w:val="auto"/>
                <w:highlight w:val="none"/>
                <w:lang w:val="zh-CN" w:eastAsia="zh-CN"/>
              </w:rPr>
              <w:t>5、递交和退还保函原件时乙方须到甲方现场提供以下证明材料：</w:t>
            </w:r>
            <w:r>
              <w:rPr>
                <w:rFonts w:hint="eastAsia" w:ascii="仿宋" w:hAnsi="仿宋" w:eastAsia="仿宋" w:cs="仿宋"/>
                <w:color w:val="auto"/>
                <w:highlight w:val="none"/>
                <w:lang w:val="zh-CN" w:eastAsia="zh-CN"/>
              </w:rPr>
              <w:br w:type="textWrapping"/>
            </w:r>
            <w:r>
              <w:rPr>
                <w:rFonts w:hint="eastAsia" w:ascii="仿宋" w:hAnsi="仿宋" w:eastAsia="仿宋" w:cs="仿宋"/>
                <w:color w:val="auto"/>
                <w:highlight w:val="none"/>
                <w:lang w:val="zh-CN" w:eastAsia="zh-CN"/>
              </w:rPr>
              <w:t>①法定代表人授权委托书原件；②委托代理人身份证复印件。</w:t>
            </w:r>
          </w:p>
        </w:tc>
      </w:tr>
      <w:tr w14:paraId="135AB65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14:paraId="39D45534">
            <w:pPr>
              <w:pStyle w:val="30"/>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6</w:t>
            </w:r>
          </w:p>
        </w:tc>
        <w:tc>
          <w:tcPr>
            <w:tcW w:w="1907" w:type="dxa"/>
            <w:tcBorders>
              <w:tl2br w:val="nil"/>
              <w:tr2bl w:val="nil"/>
            </w:tcBorders>
            <w:vAlign w:val="center"/>
          </w:tcPr>
          <w:p w14:paraId="1FAA9EBC">
            <w:pPr>
              <w:pStyle w:val="30"/>
              <w:jc w:val="center"/>
              <w:rPr>
                <w:rFonts w:hint="eastAsia" w:ascii="仿宋" w:hAnsi="仿宋" w:eastAsia="仿宋" w:cs="仿宋"/>
                <w:color w:val="auto"/>
                <w:highlight w:val="none"/>
                <w:lang w:val="zh-CN"/>
              </w:rPr>
            </w:pPr>
            <w:r>
              <w:rPr>
                <w:rFonts w:hint="eastAsia" w:ascii="仿宋" w:hAnsi="仿宋" w:eastAsia="仿宋" w:cs="仿宋"/>
                <w:bCs/>
                <w:color w:val="auto"/>
                <w:highlight w:val="none"/>
              </w:rPr>
              <w:t>招标文件</w:t>
            </w:r>
          </w:p>
          <w:p w14:paraId="5E8CCDC9">
            <w:pPr>
              <w:pStyle w:val="30"/>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咨询</w:t>
            </w:r>
          </w:p>
        </w:tc>
        <w:tc>
          <w:tcPr>
            <w:tcW w:w="6994" w:type="dxa"/>
            <w:tcBorders>
              <w:tl2br w:val="nil"/>
              <w:tr2bl w:val="nil"/>
            </w:tcBorders>
            <w:vAlign w:val="center"/>
          </w:tcPr>
          <w:p w14:paraId="7F8604D7">
            <w:pPr>
              <w:keepNext w:val="0"/>
              <w:keepLines w:val="0"/>
              <w:pageBreakBefore w:val="0"/>
              <w:kinsoku/>
              <w:wordWrap/>
              <w:overflowPunct/>
              <w:topLinePunct w:val="0"/>
              <w:bidi w:val="0"/>
              <w:snapToGrid/>
              <w:spacing w:line="480" w:lineRule="exact"/>
              <w:ind w:right="170" w:rightChars="5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汪女士</w:t>
            </w:r>
          </w:p>
          <w:p w14:paraId="7AA54F52">
            <w:pPr>
              <w:pStyle w:val="30"/>
              <w:jc w:val="both"/>
              <w:rPr>
                <w:rFonts w:hint="eastAsia" w:ascii="仿宋" w:hAnsi="仿宋" w:eastAsia="仿宋" w:cs="仿宋"/>
                <w:color w:val="auto"/>
                <w:highlight w:val="none"/>
                <w:lang w:val="zh-CN"/>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eastAsia="zh-CN"/>
              </w:rPr>
              <w:t>0813-8288814</w:t>
            </w:r>
            <w:r>
              <w:rPr>
                <w:rFonts w:hint="eastAsia" w:ascii="仿宋" w:hAnsi="仿宋" w:eastAsia="仿宋" w:cs="仿宋"/>
                <w:color w:val="auto"/>
                <w:highlight w:val="none"/>
                <w:lang w:val="zh-CN"/>
              </w:rPr>
              <w:t xml:space="preserve">    </w:t>
            </w:r>
          </w:p>
        </w:tc>
      </w:tr>
      <w:tr w14:paraId="3AFA7C4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14:paraId="2F262DA4">
            <w:pPr>
              <w:pStyle w:val="30"/>
              <w:jc w:val="center"/>
              <w:rPr>
                <w:rFonts w:hint="eastAsia" w:ascii="仿宋" w:hAnsi="仿宋" w:eastAsia="仿宋" w:cs="仿宋"/>
                <w:color w:val="auto"/>
                <w:highlight w:val="none"/>
                <w:lang w:val="zh-CN"/>
              </w:rPr>
            </w:pPr>
            <w:r>
              <w:rPr>
                <w:rFonts w:hint="eastAsia" w:ascii="仿宋" w:hAnsi="仿宋" w:eastAsia="仿宋" w:cs="仿宋"/>
                <w:color w:val="auto"/>
                <w:highlight w:val="none"/>
              </w:rPr>
              <w:t>7</w:t>
            </w:r>
          </w:p>
        </w:tc>
        <w:tc>
          <w:tcPr>
            <w:tcW w:w="1907" w:type="dxa"/>
            <w:tcBorders>
              <w:tl2br w:val="nil"/>
              <w:tr2bl w:val="nil"/>
            </w:tcBorders>
            <w:vAlign w:val="center"/>
          </w:tcPr>
          <w:p w14:paraId="5C6D727F">
            <w:pPr>
              <w:pStyle w:val="30"/>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招标过程、结果</w:t>
            </w:r>
          </w:p>
          <w:p w14:paraId="65E0A3EB">
            <w:pPr>
              <w:pStyle w:val="30"/>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工作咨询</w:t>
            </w:r>
          </w:p>
        </w:tc>
        <w:tc>
          <w:tcPr>
            <w:tcW w:w="6994" w:type="dxa"/>
            <w:tcBorders>
              <w:tl2br w:val="nil"/>
              <w:tr2bl w:val="nil"/>
            </w:tcBorders>
            <w:vAlign w:val="center"/>
          </w:tcPr>
          <w:p w14:paraId="04916A16">
            <w:pPr>
              <w:keepNext w:val="0"/>
              <w:keepLines w:val="0"/>
              <w:pageBreakBefore w:val="0"/>
              <w:kinsoku/>
              <w:wordWrap/>
              <w:overflowPunct/>
              <w:topLinePunct w:val="0"/>
              <w:bidi w:val="0"/>
              <w:snapToGrid/>
              <w:spacing w:line="480" w:lineRule="exact"/>
              <w:ind w:right="170" w:rightChars="5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汪女士</w:t>
            </w:r>
          </w:p>
          <w:p w14:paraId="29E089CB">
            <w:pPr>
              <w:pStyle w:val="30"/>
              <w:jc w:val="both"/>
              <w:rPr>
                <w:rFonts w:hint="eastAsia" w:ascii="仿宋" w:hAnsi="仿宋" w:eastAsia="仿宋" w:cs="仿宋"/>
                <w:color w:val="auto"/>
                <w:highlight w:val="none"/>
                <w:lang w:val="zh-CN"/>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eastAsia="zh-CN"/>
              </w:rPr>
              <w:t>0813-8288</w:t>
            </w:r>
            <w:r>
              <w:rPr>
                <w:rFonts w:hint="eastAsia" w:ascii="仿宋" w:hAnsi="仿宋" w:eastAsia="仿宋" w:cs="仿宋"/>
                <w:color w:val="auto"/>
                <w:sz w:val="24"/>
                <w:highlight w:val="none"/>
                <w:lang w:val="en-US" w:eastAsia="zh-CN"/>
              </w:rPr>
              <w:t>814</w:t>
            </w:r>
            <w:r>
              <w:rPr>
                <w:rFonts w:hint="eastAsia" w:ascii="仿宋" w:hAnsi="仿宋" w:eastAsia="仿宋" w:cs="仿宋"/>
                <w:color w:val="auto"/>
                <w:highlight w:val="none"/>
                <w:lang w:val="zh-CN"/>
              </w:rPr>
              <w:t xml:space="preserve">           </w:t>
            </w:r>
          </w:p>
        </w:tc>
      </w:tr>
      <w:tr w14:paraId="25A6C12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14:paraId="237B77B0">
            <w:pPr>
              <w:pStyle w:val="30"/>
              <w:jc w:val="center"/>
              <w:rPr>
                <w:rFonts w:hint="eastAsia" w:ascii="仿宋" w:hAnsi="仿宋" w:eastAsia="仿宋" w:cs="仿宋"/>
                <w:color w:val="auto"/>
                <w:highlight w:val="none"/>
              </w:rPr>
            </w:pPr>
            <w:r>
              <w:rPr>
                <w:rFonts w:hint="eastAsia" w:ascii="仿宋" w:hAnsi="仿宋" w:eastAsia="仿宋" w:cs="仿宋"/>
                <w:color w:val="auto"/>
                <w:highlight w:val="none"/>
              </w:rPr>
              <w:t>8</w:t>
            </w:r>
          </w:p>
        </w:tc>
        <w:tc>
          <w:tcPr>
            <w:tcW w:w="1907" w:type="dxa"/>
            <w:tcBorders>
              <w:tl2br w:val="nil"/>
              <w:tr2bl w:val="nil"/>
            </w:tcBorders>
            <w:vAlign w:val="center"/>
          </w:tcPr>
          <w:p w14:paraId="2FB8676A">
            <w:pPr>
              <w:pStyle w:val="30"/>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中标通知书</w:t>
            </w:r>
          </w:p>
          <w:p w14:paraId="2ECAFAE2">
            <w:pPr>
              <w:pStyle w:val="30"/>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领取</w:t>
            </w:r>
          </w:p>
        </w:tc>
        <w:tc>
          <w:tcPr>
            <w:tcW w:w="6994" w:type="dxa"/>
            <w:tcBorders>
              <w:tl2br w:val="nil"/>
              <w:tr2bl w:val="nil"/>
            </w:tcBorders>
            <w:vAlign w:val="center"/>
          </w:tcPr>
          <w:p w14:paraId="3C769A54">
            <w:pPr>
              <w:pStyle w:val="30"/>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招标结果公告在</w:t>
            </w:r>
            <w:r>
              <w:rPr>
                <w:rFonts w:hint="eastAsia" w:ascii="仿宋" w:hAnsi="仿宋" w:eastAsia="仿宋" w:cs="仿宋"/>
                <w:color w:val="auto"/>
                <w:highlight w:val="none"/>
                <w:lang w:eastAsia="zh-CN"/>
              </w:rPr>
              <w:t>四川招投标网</w:t>
            </w:r>
            <w:r>
              <w:rPr>
                <w:rFonts w:hint="eastAsia" w:ascii="仿宋" w:hAnsi="仿宋" w:eastAsia="仿宋" w:cs="仿宋"/>
                <w:color w:val="auto"/>
                <w:highlight w:val="none"/>
                <w:lang w:val="zh-CN"/>
              </w:rPr>
              <w:t>上发布后，请中标人凭有效身份证明证件到</w:t>
            </w:r>
            <w:r>
              <w:rPr>
                <w:rFonts w:hint="eastAsia" w:ascii="仿宋" w:hAnsi="仿宋" w:eastAsia="仿宋" w:cs="仿宋"/>
                <w:color w:val="auto"/>
                <w:highlight w:val="none"/>
                <w:lang w:val="zh-CN" w:eastAsia="zh-CN"/>
              </w:rPr>
              <w:t>自贡市自流井区丹阳街2号普润电商博览城一期A8-3-40-43</w:t>
            </w:r>
            <w:r>
              <w:rPr>
                <w:rFonts w:hint="eastAsia" w:ascii="仿宋" w:hAnsi="仿宋" w:eastAsia="仿宋" w:cs="仿宋"/>
                <w:color w:val="auto"/>
                <w:highlight w:val="none"/>
                <w:lang w:val="zh-CN"/>
              </w:rPr>
              <w:t>领取中标通知书。</w:t>
            </w:r>
          </w:p>
          <w:p w14:paraId="34C47085">
            <w:pPr>
              <w:pStyle w:val="30"/>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联系电话：</w:t>
            </w:r>
            <w:r>
              <w:rPr>
                <w:rFonts w:hint="eastAsia" w:ascii="仿宋" w:hAnsi="仿宋" w:eastAsia="仿宋" w:cs="仿宋"/>
                <w:color w:val="auto"/>
                <w:sz w:val="24"/>
                <w:highlight w:val="none"/>
                <w:lang w:eastAsia="zh-CN"/>
              </w:rPr>
              <w:t>0813-8288814</w:t>
            </w:r>
            <w:r>
              <w:rPr>
                <w:rFonts w:hint="eastAsia" w:ascii="仿宋" w:hAnsi="仿宋" w:eastAsia="仿宋" w:cs="仿宋"/>
                <w:color w:val="auto"/>
                <w:highlight w:val="none"/>
              </w:rPr>
              <w:t>。</w:t>
            </w:r>
          </w:p>
        </w:tc>
      </w:tr>
      <w:tr w14:paraId="633927E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14:paraId="41E8AC0D">
            <w:pPr>
              <w:pStyle w:val="30"/>
              <w:jc w:val="center"/>
              <w:rPr>
                <w:rFonts w:hint="eastAsia" w:ascii="仿宋" w:hAnsi="仿宋" w:eastAsia="仿宋" w:cs="仿宋"/>
                <w:color w:val="auto"/>
                <w:highlight w:val="none"/>
              </w:rPr>
            </w:pPr>
            <w:r>
              <w:rPr>
                <w:rFonts w:hint="eastAsia" w:ascii="仿宋" w:hAnsi="仿宋" w:eastAsia="仿宋" w:cs="仿宋"/>
                <w:color w:val="auto"/>
                <w:highlight w:val="none"/>
              </w:rPr>
              <w:t>9</w:t>
            </w:r>
          </w:p>
        </w:tc>
        <w:tc>
          <w:tcPr>
            <w:tcW w:w="1907" w:type="dxa"/>
            <w:tcBorders>
              <w:tl2br w:val="nil"/>
              <w:tr2bl w:val="nil"/>
            </w:tcBorders>
            <w:vAlign w:val="center"/>
          </w:tcPr>
          <w:p w14:paraId="0E154F7A">
            <w:pPr>
              <w:pStyle w:val="30"/>
              <w:jc w:val="center"/>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投标人询问</w:t>
            </w:r>
          </w:p>
        </w:tc>
        <w:tc>
          <w:tcPr>
            <w:tcW w:w="6994" w:type="dxa"/>
            <w:tcBorders>
              <w:tl2br w:val="nil"/>
              <w:tr2bl w:val="nil"/>
            </w:tcBorders>
          </w:tcPr>
          <w:p w14:paraId="17416F6B">
            <w:pPr>
              <w:pStyle w:val="30"/>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根据委托代理协议约定，投标人询问由四川中采项目管理有限公司负责答复。</w:t>
            </w:r>
          </w:p>
          <w:p w14:paraId="1EDC081B">
            <w:pPr>
              <w:keepNext w:val="0"/>
              <w:keepLines w:val="0"/>
              <w:pageBreakBefore w:val="0"/>
              <w:kinsoku/>
              <w:wordWrap/>
              <w:overflowPunct/>
              <w:topLinePunct w:val="0"/>
              <w:bidi w:val="0"/>
              <w:snapToGrid/>
              <w:spacing w:line="480" w:lineRule="exact"/>
              <w:ind w:right="170" w:rightChars="50"/>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eastAsia="zh-CN"/>
              </w:rPr>
              <w:t>汪女士</w:t>
            </w:r>
          </w:p>
          <w:p w14:paraId="6D919C21">
            <w:pPr>
              <w:pStyle w:val="30"/>
              <w:jc w:val="both"/>
              <w:rPr>
                <w:rFonts w:hint="eastAsia" w:ascii="仿宋" w:hAnsi="仿宋" w:eastAsia="仿宋" w:cs="仿宋"/>
                <w:color w:val="auto"/>
                <w:highlight w:val="none"/>
                <w:lang w:val="zh-CN"/>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lang w:eastAsia="zh-CN"/>
              </w:rPr>
              <w:t>0813-8288814</w:t>
            </w:r>
            <w:r>
              <w:rPr>
                <w:rFonts w:hint="eastAsia" w:ascii="仿宋" w:hAnsi="仿宋" w:eastAsia="仿宋" w:cs="仿宋"/>
                <w:color w:val="auto"/>
                <w:highlight w:val="none"/>
                <w:lang w:val="zh-CN"/>
              </w:rPr>
              <w:t xml:space="preserve">    </w:t>
            </w:r>
          </w:p>
        </w:tc>
      </w:tr>
      <w:tr w14:paraId="347F3E9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725" w:type="dxa"/>
            <w:tcBorders>
              <w:tl2br w:val="nil"/>
              <w:tr2bl w:val="nil"/>
            </w:tcBorders>
            <w:vAlign w:val="center"/>
          </w:tcPr>
          <w:p w14:paraId="7B7B5C30">
            <w:pPr>
              <w:pStyle w:val="30"/>
              <w:jc w:val="center"/>
              <w:rPr>
                <w:rFonts w:hint="eastAsia" w:ascii="仿宋" w:hAnsi="仿宋" w:eastAsia="仿宋" w:cs="仿宋"/>
                <w:color w:val="auto"/>
                <w:highlight w:val="none"/>
              </w:rPr>
            </w:pPr>
            <w:r>
              <w:rPr>
                <w:rFonts w:hint="eastAsia" w:ascii="仿宋" w:hAnsi="仿宋" w:eastAsia="仿宋" w:cs="仿宋"/>
                <w:color w:val="auto"/>
                <w:highlight w:val="none"/>
              </w:rPr>
              <w:t>10</w:t>
            </w:r>
          </w:p>
        </w:tc>
        <w:tc>
          <w:tcPr>
            <w:tcW w:w="1907" w:type="dxa"/>
            <w:tcBorders>
              <w:tl2br w:val="nil"/>
              <w:tr2bl w:val="nil"/>
            </w:tcBorders>
            <w:vAlign w:val="center"/>
          </w:tcPr>
          <w:p w14:paraId="2F7CECAB">
            <w:pPr>
              <w:pStyle w:val="34"/>
              <w:spacing w:beforeLines="0" w:afterLines="0" w:line="240" w:lineRule="auto"/>
              <w:ind w:firstLine="0" w:firstLineChars="0"/>
              <w:jc w:val="center"/>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招标代理服务费</w:t>
            </w:r>
          </w:p>
        </w:tc>
        <w:tc>
          <w:tcPr>
            <w:tcW w:w="6994" w:type="dxa"/>
            <w:tcBorders>
              <w:tl2br w:val="nil"/>
              <w:tr2bl w:val="nil"/>
            </w:tcBorders>
            <w:vAlign w:val="center"/>
          </w:tcPr>
          <w:p w14:paraId="1E9C7057">
            <w:pPr>
              <w:pStyle w:val="30"/>
              <w:ind w:firstLine="240" w:firstLineChars="100"/>
              <w:jc w:val="both"/>
              <w:rPr>
                <w:rFonts w:hint="eastAsia" w:ascii="仿宋" w:hAnsi="仿宋" w:eastAsia="仿宋" w:cs="仿宋"/>
                <w:color w:val="auto"/>
                <w:highlight w:val="none"/>
                <w:lang w:val="zh-CN"/>
              </w:rPr>
            </w:pPr>
            <w:r>
              <w:rPr>
                <w:rFonts w:hint="eastAsia" w:ascii="仿宋" w:hAnsi="仿宋" w:eastAsia="仿宋" w:cs="仿宋"/>
                <w:color w:val="auto"/>
                <w:highlight w:val="none"/>
              </w:rPr>
              <w:t>因本项目预算已包含招标代理服务费，以现金或者转账方式向中标人收取</w:t>
            </w:r>
            <w:r>
              <w:rPr>
                <w:rFonts w:hint="eastAsia" w:ascii="仿宋" w:hAnsi="仿宋" w:eastAsia="仿宋" w:cs="仿宋"/>
                <w:color w:val="auto"/>
                <w:highlight w:val="none"/>
                <w:lang w:eastAsia="zh-CN"/>
              </w:rPr>
              <w:t>（第一包：</w:t>
            </w:r>
            <w:r>
              <w:rPr>
                <w:rFonts w:hint="eastAsia" w:ascii="仿宋" w:hAnsi="仿宋" w:eastAsia="仿宋" w:cs="仿宋"/>
                <w:color w:val="auto"/>
                <w:highlight w:val="none"/>
                <w:lang w:val="en-US" w:eastAsia="zh-CN"/>
              </w:rPr>
              <w:t>3000.00</w:t>
            </w:r>
            <w:r>
              <w:rPr>
                <w:rFonts w:hint="eastAsia" w:ascii="仿宋" w:hAnsi="仿宋" w:eastAsia="仿宋" w:cs="仿宋"/>
                <w:color w:val="auto"/>
                <w:highlight w:val="none"/>
                <w:lang w:eastAsia="zh-CN"/>
              </w:rPr>
              <w:t>元，第二包：</w:t>
            </w:r>
            <w:r>
              <w:rPr>
                <w:rFonts w:hint="eastAsia" w:ascii="仿宋" w:hAnsi="仿宋" w:eastAsia="仿宋" w:cs="仿宋"/>
                <w:color w:val="auto"/>
                <w:highlight w:val="none"/>
                <w:lang w:val="en-US" w:eastAsia="zh-CN"/>
              </w:rPr>
              <w:t>3000.00</w:t>
            </w:r>
            <w:r>
              <w:rPr>
                <w:rFonts w:hint="eastAsia" w:ascii="仿宋" w:hAnsi="仿宋" w:eastAsia="仿宋" w:cs="仿宋"/>
                <w:color w:val="auto"/>
                <w:highlight w:val="none"/>
                <w:lang w:eastAsia="zh-CN"/>
              </w:rPr>
              <w:t>元，第三包：</w:t>
            </w:r>
            <w:r>
              <w:rPr>
                <w:rFonts w:hint="eastAsia" w:ascii="仿宋" w:hAnsi="仿宋" w:eastAsia="仿宋" w:cs="仿宋"/>
                <w:color w:val="auto"/>
                <w:highlight w:val="none"/>
                <w:lang w:val="en-US" w:eastAsia="zh-CN"/>
              </w:rPr>
              <w:t>3000.00</w:t>
            </w:r>
            <w:r>
              <w:rPr>
                <w:rFonts w:hint="eastAsia" w:ascii="仿宋" w:hAnsi="仿宋" w:eastAsia="仿宋" w:cs="仿宋"/>
                <w:color w:val="auto"/>
                <w:highlight w:val="none"/>
                <w:lang w:eastAsia="zh-CN"/>
              </w:rPr>
              <w:t>元，第四包：</w:t>
            </w:r>
            <w:r>
              <w:rPr>
                <w:rFonts w:hint="eastAsia" w:ascii="仿宋" w:hAnsi="仿宋" w:eastAsia="仿宋" w:cs="仿宋"/>
                <w:color w:val="auto"/>
                <w:highlight w:val="none"/>
                <w:lang w:val="en-US" w:eastAsia="zh-CN"/>
              </w:rPr>
              <w:t>3000.00</w:t>
            </w:r>
            <w:r>
              <w:rPr>
                <w:rFonts w:hint="eastAsia" w:ascii="仿宋" w:hAnsi="仿宋" w:eastAsia="仿宋" w:cs="仿宋"/>
                <w:color w:val="auto"/>
                <w:highlight w:val="none"/>
                <w:lang w:eastAsia="zh-CN"/>
              </w:rPr>
              <w:t>元，第五包：</w:t>
            </w:r>
            <w:bookmarkStart w:id="21" w:name="OLE_LINK1"/>
            <w:r>
              <w:rPr>
                <w:rFonts w:hint="eastAsia" w:ascii="仿宋" w:hAnsi="仿宋" w:eastAsia="仿宋" w:cs="仿宋"/>
                <w:color w:val="auto"/>
                <w:highlight w:val="none"/>
                <w:lang w:val="en-US" w:eastAsia="zh-CN"/>
              </w:rPr>
              <w:t>3000.00</w:t>
            </w:r>
            <w:bookmarkEnd w:id="21"/>
            <w:r>
              <w:rPr>
                <w:rFonts w:hint="eastAsia" w:ascii="仿宋" w:hAnsi="仿宋" w:eastAsia="仿宋" w:cs="仿宋"/>
                <w:color w:val="auto"/>
                <w:highlight w:val="none"/>
                <w:lang w:eastAsia="zh-CN"/>
              </w:rPr>
              <w:t>元，</w:t>
            </w:r>
            <w:bookmarkStart w:id="22" w:name="OLE_LINK12"/>
            <w:r>
              <w:rPr>
                <w:rFonts w:hint="eastAsia" w:ascii="仿宋" w:hAnsi="仿宋" w:eastAsia="仿宋" w:cs="仿宋"/>
                <w:color w:val="auto"/>
                <w:highlight w:val="none"/>
                <w:lang w:eastAsia="zh-CN"/>
              </w:rPr>
              <w:t>第六包：</w:t>
            </w:r>
            <w:r>
              <w:rPr>
                <w:rFonts w:hint="eastAsia" w:ascii="仿宋" w:hAnsi="仿宋" w:eastAsia="仿宋" w:cs="仿宋"/>
                <w:color w:val="auto"/>
                <w:highlight w:val="none"/>
                <w:lang w:val="en-US" w:eastAsia="zh-CN"/>
              </w:rPr>
              <w:t>3000.00</w:t>
            </w:r>
            <w:r>
              <w:rPr>
                <w:rFonts w:hint="eastAsia" w:ascii="仿宋" w:hAnsi="仿宋" w:eastAsia="仿宋" w:cs="仿宋"/>
                <w:color w:val="auto"/>
                <w:highlight w:val="none"/>
                <w:lang w:eastAsia="zh-CN"/>
              </w:rPr>
              <w:t>元</w:t>
            </w:r>
            <w:bookmarkEnd w:id="22"/>
            <w:r>
              <w:rPr>
                <w:rFonts w:hint="eastAsia" w:ascii="仿宋" w:hAnsi="仿宋" w:eastAsia="仿宋" w:cs="仿宋"/>
                <w:color w:val="auto"/>
                <w:highlight w:val="none"/>
                <w:lang w:eastAsia="zh-CN"/>
              </w:rPr>
              <w:t>，第七包：</w:t>
            </w:r>
            <w:r>
              <w:rPr>
                <w:rFonts w:hint="eastAsia" w:ascii="仿宋" w:hAnsi="仿宋" w:eastAsia="仿宋" w:cs="仿宋"/>
                <w:color w:val="auto"/>
                <w:highlight w:val="none"/>
                <w:lang w:val="en-US" w:eastAsia="zh-CN"/>
              </w:rPr>
              <w:t>5479.00</w:t>
            </w:r>
            <w:r>
              <w:rPr>
                <w:rFonts w:hint="eastAsia" w:ascii="仿宋" w:hAnsi="仿宋" w:eastAsia="仿宋" w:cs="仿宋"/>
                <w:color w:val="auto"/>
                <w:highlight w:val="none"/>
                <w:lang w:eastAsia="zh-CN"/>
              </w:rPr>
              <w:t>元）</w:t>
            </w:r>
            <w:r>
              <w:rPr>
                <w:rFonts w:hint="eastAsia" w:ascii="仿宋" w:hAnsi="仿宋" w:eastAsia="仿宋" w:cs="仿宋"/>
                <w:color w:val="auto"/>
                <w:highlight w:val="none"/>
              </w:rPr>
              <w:t>。</w:t>
            </w:r>
          </w:p>
        </w:tc>
      </w:tr>
      <w:tr w14:paraId="46E8153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14:paraId="6875940D">
            <w:pPr>
              <w:pStyle w:val="3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11</w:t>
            </w:r>
          </w:p>
        </w:tc>
        <w:tc>
          <w:tcPr>
            <w:tcW w:w="1907" w:type="dxa"/>
            <w:tcBorders>
              <w:tl2br w:val="nil"/>
              <w:tr2bl w:val="nil"/>
            </w:tcBorders>
            <w:vAlign w:val="center"/>
          </w:tcPr>
          <w:p w14:paraId="6AC25923">
            <w:pPr>
              <w:pStyle w:val="34"/>
              <w:spacing w:beforeLines="0" w:afterLines="0" w:line="24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其他</w:t>
            </w:r>
          </w:p>
        </w:tc>
        <w:tc>
          <w:tcPr>
            <w:tcW w:w="6994" w:type="dxa"/>
            <w:tcBorders>
              <w:tl2br w:val="nil"/>
              <w:tr2bl w:val="nil"/>
            </w:tcBorders>
            <w:vAlign w:val="center"/>
          </w:tcPr>
          <w:p w14:paraId="2F44BCE0">
            <w:pPr>
              <w:pStyle w:val="30"/>
              <w:ind w:firstLine="240" w:firstLineChars="100"/>
              <w:jc w:val="both"/>
              <w:rPr>
                <w:rFonts w:hint="eastAsia" w:ascii="仿宋" w:hAnsi="仿宋" w:eastAsia="仿宋" w:cs="仿宋"/>
                <w:color w:val="auto"/>
                <w:highlight w:val="none"/>
              </w:rPr>
            </w:pPr>
            <w:r>
              <w:rPr>
                <w:rFonts w:hint="eastAsia" w:ascii="仿宋" w:hAnsi="仿宋" w:eastAsia="仿宋" w:cs="仿宋"/>
                <w:color w:val="auto"/>
                <w:kern w:val="2"/>
              </w:rPr>
              <w:t>投标人根据自身的实际情况，自主选择参加投标的包数。招标文件对第一包、第二包</w:t>
            </w:r>
            <w:r>
              <w:rPr>
                <w:rFonts w:hint="eastAsia" w:ascii="仿宋" w:hAnsi="仿宋" w:eastAsia="仿宋" w:cs="仿宋"/>
                <w:color w:val="auto"/>
                <w:kern w:val="2"/>
                <w:lang w:eastAsia="zh-CN"/>
              </w:rPr>
              <w:t>、</w:t>
            </w:r>
            <w:r>
              <w:rPr>
                <w:rFonts w:hint="eastAsia" w:ascii="仿宋" w:hAnsi="仿宋" w:eastAsia="仿宋" w:cs="仿宋"/>
                <w:color w:val="auto"/>
                <w:kern w:val="2"/>
                <w:lang w:val="en-US" w:eastAsia="zh-CN"/>
              </w:rPr>
              <w:t>第三包</w:t>
            </w:r>
            <w:r>
              <w:rPr>
                <w:rFonts w:hint="eastAsia" w:ascii="仿宋" w:hAnsi="仿宋" w:eastAsia="仿宋" w:cs="仿宋"/>
                <w:color w:val="auto"/>
                <w:kern w:val="2"/>
                <w:lang w:eastAsia="zh-CN"/>
              </w:rPr>
              <w:t>、</w:t>
            </w:r>
            <w:r>
              <w:rPr>
                <w:rFonts w:hint="eastAsia" w:ascii="仿宋" w:hAnsi="仿宋" w:eastAsia="仿宋" w:cs="仿宋"/>
                <w:color w:val="auto"/>
                <w:kern w:val="2"/>
                <w:lang w:val="en-US" w:eastAsia="zh-CN"/>
              </w:rPr>
              <w:t>第四包</w:t>
            </w:r>
            <w:r>
              <w:rPr>
                <w:rFonts w:hint="eastAsia" w:ascii="仿宋" w:hAnsi="仿宋" w:eastAsia="仿宋" w:cs="仿宋"/>
                <w:color w:val="auto"/>
                <w:kern w:val="2"/>
                <w:lang w:eastAsia="zh-CN"/>
              </w:rPr>
              <w:t>、</w:t>
            </w:r>
            <w:r>
              <w:rPr>
                <w:rFonts w:hint="eastAsia" w:ascii="仿宋" w:hAnsi="仿宋" w:eastAsia="仿宋" w:cs="仿宋"/>
                <w:color w:val="auto"/>
                <w:kern w:val="2"/>
                <w:lang w:val="en-US" w:eastAsia="zh-CN"/>
              </w:rPr>
              <w:t>第五包</w:t>
            </w:r>
            <w:r>
              <w:rPr>
                <w:rFonts w:hint="eastAsia" w:ascii="仿宋" w:hAnsi="仿宋" w:eastAsia="仿宋" w:cs="仿宋"/>
                <w:color w:val="auto"/>
                <w:kern w:val="2"/>
                <w:lang w:eastAsia="zh-CN"/>
              </w:rPr>
              <w:t>、</w:t>
            </w:r>
            <w:r>
              <w:rPr>
                <w:rFonts w:hint="eastAsia" w:ascii="仿宋" w:hAnsi="仿宋" w:eastAsia="仿宋" w:cs="仿宋"/>
                <w:color w:val="auto"/>
                <w:kern w:val="2"/>
                <w:lang w:val="en-US" w:eastAsia="zh-CN"/>
              </w:rPr>
              <w:t>第六包</w:t>
            </w:r>
            <w:r>
              <w:rPr>
                <w:rFonts w:hint="eastAsia" w:ascii="仿宋" w:hAnsi="仿宋" w:eastAsia="仿宋" w:cs="仿宋"/>
                <w:color w:val="auto"/>
                <w:kern w:val="2"/>
              </w:rPr>
              <w:t>没有特别说明的，适用于第一包、第二包</w:t>
            </w:r>
            <w:r>
              <w:rPr>
                <w:rFonts w:hint="eastAsia" w:ascii="仿宋" w:hAnsi="仿宋" w:eastAsia="仿宋" w:cs="仿宋"/>
                <w:color w:val="auto"/>
                <w:kern w:val="2"/>
                <w:lang w:eastAsia="zh-CN"/>
              </w:rPr>
              <w:t>、</w:t>
            </w:r>
            <w:bookmarkStart w:id="23" w:name="OLE_LINK11"/>
            <w:r>
              <w:rPr>
                <w:rFonts w:hint="eastAsia" w:ascii="仿宋" w:hAnsi="仿宋" w:eastAsia="仿宋" w:cs="仿宋"/>
                <w:color w:val="auto"/>
                <w:kern w:val="2"/>
                <w:lang w:val="en-US" w:eastAsia="zh-CN"/>
              </w:rPr>
              <w:t>第三包</w:t>
            </w:r>
            <w:bookmarkEnd w:id="23"/>
            <w:r>
              <w:rPr>
                <w:rFonts w:hint="eastAsia" w:ascii="仿宋" w:hAnsi="仿宋" w:eastAsia="仿宋" w:cs="仿宋"/>
                <w:color w:val="auto"/>
                <w:kern w:val="2"/>
                <w:lang w:eastAsia="zh-CN"/>
              </w:rPr>
              <w:t>、</w:t>
            </w:r>
            <w:r>
              <w:rPr>
                <w:rFonts w:hint="eastAsia" w:ascii="仿宋" w:hAnsi="仿宋" w:eastAsia="仿宋" w:cs="仿宋"/>
                <w:color w:val="auto"/>
                <w:kern w:val="2"/>
                <w:lang w:val="en-US" w:eastAsia="zh-CN"/>
              </w:rPr>
              <w:t>第四包</w:t>
            </w:r>
            <w:r>
              <w:rPr>
                <w:rFonts w:hint="eastAsia" w:ascii="仿宋" w:hAnsi="仿宋" w:eastAsia="仿宋" w:cs="仿宋"/>
                <w:color w:val="auto"/>
                <w:kern w:val="2"/>
                <w:lang w:eastAsia="zh-CN"/>
              </w:rPr>
              <w:t>、</w:t>
            </w:r>
            <w:r>
              <w:rPr>
                <w:rFonts w:hint="eastAsia" w:ascii="仿宋" w:hAnsi="仿宋" w:eastAsia="仿宋" w:cs="仿宋"/>
                <w:color w:val="auto"/>
                <w:kern w:val="2"/>
                <w:lang w:val="en-US" w:eastAsia="zh-CN"/>
              </w:rPr>
              <w:t>第五包</w:t>
            </w:r>
            <w:r>
              <w:rPr>
                <w:rFonts w:hint="eastAsia" w:ascii="仿宋" w:hAnsi="仿宋" w:eastAsia="仿宋" w:cs="仿宋"/>
                <w:color w:val="auto"/>
                <w:kern w:val="2"/>
                <w:lang w:eastAsia="zh-CN"/>
              </w:rPr>
              <w:t>、</w:t>
            </w:r>
            <w:r>
              <w:rPr>
                <w:rFonts w:hint="eastAsia" w:ascii="仿宋" w:hAnsi="仿宋" w:eastAsia="仿宋" w:cs="仿宋"/>
                <w:color w:val="auto"/>
                <w:kern w:val="2"/>
                <w:lang w:val="en-US" w:eastAsia="zh-CN"/>
              </w:rPr>
              <w:t>第六包</w:t>
            </w:r>
            <w:r>
              <w:rPr>
                <w:rFonts w:hint="eastAsia" w:ascii="仿宋" w:hAnsi="仿宋" w:eastAsia="仿宋" w:cs="仿宋"/>
                <w:color w:val="auto"/>
                <w:kern w:val="2"/>
                <w:lang w:eastAsia="zh-CN"/>
              </w:rPr>
              <w:t>、</w:t>
            </w:r>
            <w:r>
              <w:rPr>
                <w:rFonts w:hint="eastAsia" w:ascii="仿宋" w:hAnsi="仿宋" w:eastAsia="仿宋" w:cs="仿宋"/>
                <w:color w:val="auto"/>
                <w:kern w:val="2"/>
                <w:lang w:val="en-US" w:eastAsia="zh-CN"/>
              </w:rPr>
              <w:t>第七包，</w:t>
            </w:r>
            <w:r>
              <w:rPr>
                <w:rFonts w:hint="eastAsia" w:ascii="仿宋" w:hAnsi="仿宋" w:eastAsia="仿宋" w:cs="仿宋"/>
                <w:color w:val="auto"/>
                <w:kern w:val="2"/>
              </w:rPr>
              <w:t>对各包有特别说明的，适用于各包。</w:t>
            </w:r>
          </w:p>
        </w:tc>
      </w:tr>
      <w:tr w14:paraId="6D441CA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jc w:val="center"/>
        </w:trPr>
        <w:tc>
          <w:tcPr>
            <w:tcW w:w="725" w:type="dxa"/>
            <w:tcBorders>
              <w:tl2br w:val="nil"/>
              <w:tr2bl w:val="nil"/>
            </w:tcBorders>
            <w:vAlign w:val="center"/>
          </w:tcPr>
          <w:p w14:paraId="0777ACDE">
            <w:pPr>
              <w:pStyle w:val="30"/>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12</w:t>
            </w:r>
          </w:p>
        </w:tc>
        <w:tc>
          <w:tcPr>
            <w:tcW w:w="1907" w:type="dxa"/>
            <w:tcBorders>
              <w:tl2br w:val="nil"/>
              <w:tr2bl w:val="nil"/>
            </w:tcBorders>
            <w:vAlign w:val="center"/>
          </w:tcPr>
          <w:p w14:paraId="018A1F08">
            <w:pPr>
              <w:pStyle w:val="34"/>
              <w:spacing w:beforeLines="0" w:afterLines="0" w:line="24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特别说明</w:t>
            </w:r>
          </w:p>
        </w:tc>
        <w:tc>
          <w:tcPr>
            <w:tcW w:w="6994" w:type="dxa"/>
            <w:tcBorders>
              <w:tl2br w:val="nil"/>
              <w:tr2bl w:val="nil"/>
            </w:tcBorders>
            <w:vAlign w:val="center"/>
          </w:tcPr>
          <w:p w14:paraId="3D5A9808">
            <w:pPr>
              <w:pStyle w:val="30"/>
              <w:ind w:firstLine="240" w:firstLineChars="100"/>
              <w:jc w:val="both"/>
              <w:rPr>
                <w:rFonts w:hint="eastAsia" w:ascii="仿宋" w:hAnsi="仿宋" w:eastAsia="仿宋" w:cs="仿宋"/>
                <w:color w:val="auto"/>
                <w:kern w:val="2"/>
                <w:lang w:eastAsia="zh-CN"/>
              </w:rPr>
            </w:pPr>
            <w:r>
              <w:rPr>
                <w:rFonts w:hint="eastAsia" w:ascii="仿宋" w:hAnsi="仿宋" w:eastAsia="仿宋" w:cs="仿宋"/>
                <w:color w:val="auto"/>
                <w:kern w:val="2"/>
                <w:lang w:eastAsia="zh-CN"/>
              </w:rPr>
              <w:t>1、本项目为非政府采购项目，本次采购活动不受政府采购法律、法规制度和招投标法律、法规的调整约束。</w:t>
            </w:r>
          </w:p>
          <w:p w14:paraId="0AF9B5F2">
            <w:pPr>
              <w:pStyle w:val="30"/>
              <w:ind w:firstLine="240" w:firstLineChars="100"/>
              <w:jc w:val="both"/>
              <w:rPr>
                <w:rFonts w:hint="eastAsia" w:ascii="仿宋" w:hAnsi="仿宋" w:eastAsia="仿宋" w:cs="仿宋"/>
                <w:color w:val="auto"/>
                <w:kern w:val="2"/>
                <w:lang w:eastAsia="zh-CN"/>
              </w:rPr>
            </w:pPr>
            <w:r>
              <w:rPr>
                <w:rFonts w:hint="eastAsia" w:ascii="仿宋" w:hAnsi="仿宋" w:eastAsia="仿宋" w:cs="仿宋"/>
                <w:color w:val="auto"/>
                <w:kern w:val="2"/>
                <w:lang w:eastAsia="zh-CN"/>
              </w:rPr>
              <w:t>2、本项目采购交易活动适用于《中华人民共和国民法典》的相关规定。</w:t>
            </w:r>
          </w:p>
          <w:p w14:paraId="6E0F5471">
            <w:pPr>
              <w:pStyle w:val="30"/>
              <w:ind w:firstLine="240" w:firstLineChars="100"/>
              <w:jc w:val="both"/>
              <w:rPr>
                <w:rFonts w:hint="eastAsia" w:ascii="仿宋" w:hAnsi="仿宋" w:eastAsia="仿宋" w:cs="仿宋"/>
                <w:color w:val="auto"/>
                <w:kern w:val="2"/>
                <w:lang w:eastAsia="zh-CN"/>
              </w:rPr>
            </w:pPr>
            <w:r>
              <w:rPr>
                <w:rFonts w:hint="eastAsia" w:ascii="仿宋" w:hAnsi="仿宋" w:eastAsia="仿宋" w:cs="仿宋"/>
                <w:color w:val="auto"/>
                <w:kern w:val="2"/>
                <w:lang w:eastAsia="zh-CN"/>
              </w:rPr>
              <w:t>3、为了最大限度公平、公正开展采购活动，本项目采购文件部分借用（或参考）了政府采购法规制度中的有关采购规则来择优评审选择（确定）成交供应商。</w:t>
            </w:r>
          </w:p>
          <w:p w14:paraId="453457A0">
            <w:pPr>
              <w:pStyle w:val="30"/>
              <w:ind w:firstLine="240" w:firstLineChars="1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lang w:val="en-US" w:eastAsia="zh-CN"/>
              </w:rPr>
              <w:t>特此说明。</w:t>
            </w:r>
          </w:p>
        </w:tc>
      </w:tr>
    </w:tbl>
    <w:p w14:paraId="43A99FE1">
      <w:pPr>
        <w:spacing w:line="360" w:lineRule="auto"/>
        <w:jc w:val="center"/>
        <w:rPr>
          <w:rFonts w:hint="eastAsia" w:ascii="仿宋" w:hAnsi="仿宋" w:eastAsia="仿宋" w:cs="仿宋"/>
          <w:bCs/>
          <w:sz w:val="24"/>
          <w:szCs w:val="24"/>
          <w:highlight w:val="none"/>
        </w:rPr>
      </w:pPr>
    </w:p>
    <w:p w14:paraId="798A9738">
      <w:pPr>
        <w:spacing w:line="360" w:lineRule="auto"/>
        <w:jc w:val="center"/>
        <w:rPr>
          <w:rFonts w:hint="eastAsia" w:ascii="仿宋" w:hAnsi="仿宋" w:eastAsia="仿宋" w:cs="仿宋"/>
          <w:bCs/>
          <w:sz w:val="24"/>
          <w:szCs w:val="24"/>
          <w:highlight w:val="none"/>
        </w:rPr>
      </w:pPr>
    </w:p>
    <w:p w14:paraId="739FB450">
      <w:pPr>
        <w:spacing w:line="360" w:lineRule="auto"/>
        <w:rPr>
          <w:rFonts w:hint="eastAsia" w:ascii="仿宋" w:hAnsi="仿宋" w:eastAsia="仿宋" w:cs="仿宋"/>
          <w:sz w:val="32"/>
          <w:highlight w:val="none"/>
        </w:rPr>
      </w:pPr>
    </w:p>
    <w:p w14:paraId="75DA6DA8">
      <w:pPr>
        <w:pStyle w:val="5"/>
        <w:keepNext w:val="0"/>
        <w:keepLines w:val="0"/>
        <w:spacing w:before="0" w:after="0" w:line="360" w:lineRule="auto"/>
        <w:jc w:val="center"/>
        <w:rPr>
          <w:rFonts w:hint="eastAsia" w:ascii="仿宋" w:hAnsi="仿宋" w:eastAsia="仿宋" w:cs="仿宋"/>
          <w:bCs w:val="0"/>
          <w:sz w:val="24"/>
          <w:szCs w:val="24"/>
          <w:highlight w:val="none"/>
        </w:rPr>
      </w:pPr>
      <w:r>
        <w:rPr>
          <w:rFonts w:hint="eastAsia" w:ascii="仿宋" w:hAnsi="仿宋" w:eastAsia="仿宋" w:cs="仿宋"/>
          <w:bCs w:val="0"/>
          <w:sz w:val="28"/>
          <w:szCs w:val="28"/>
          <w:highlight w:val="none"/>
        </w:rPr>
        <w:br w:type="page"/>
      </w:r>
      <w:bookmarkStart w:id="24" w:name="_Toc12052"/>
      <w:r>
        <w:rPr>
          <w:rFonts w:hint="eastAsia" w:ascii="仿宋" w:hAnsi="仿宋" w:eastAsia="仿宋" w:cs="仿宋"/>
          <w:bCs w:val="0"/>
          <w:sz w:val="28"/>
          <w:szCs w:val="28"/>
          <w:highlight w:val="none"/>
        </w:rPr>
        <w:t>二、总  则</w:t>
      </w:r>
      <w:bookmarkEnd w:id="24"/>
    </w:p>
    <w:p w14:paraId="651009D0">
      <w:pPr>
        <w:spacing w:line="360" w:lineRule="auto"/>
        <w:ind w:firstLine="480" w:firstLineChars="200"/>
        <w:rPr>
          <w:rFonts w:hint="eastAsia" w:ascii="仿宋" w:hAnsi="仿宋" w:eastAsia="仿宋" w:cs="仿宋"/>
          <w:b/>
          <w:bCs/>
          <w:sz w:val="24"/>
          <w:szCs w:val="24"/>
          <w:highlight w:val="none"/>
        </w:rPr>
      </w:pPr>
      <w:bookmarkStart w:id="25" w:name="_Toc183582205"/>
      <w:bookmarkStart w:id="26" w:name="_Toc183682342"/>
      <w:bookmarkStart w:id="27" w:name="_Toc217446034"/>
      <w:r>
        <w:rPr>
          <w:rFonts w:hint="eastAsia" w:ascii="仿宋" w:hAnsi="仿宋" w:eastAsia="仿宋" w:cs="仿宋"/>
          <w:b/>
          <w:bCs/>
          <w:sz w:val="24"/>
          <w:szCs w:val="24"/>
          <w:highlight w:val="none"/>
        </w:rPr>
        <w:t>1.</w:t>
      </w:r>
      <w:bookmarkEnd w:id="25"/>
      <w:bookmarkEnd w:id="26"/>
      <w:r>
        <w:rPr>
          <w:rFonts w:hint="eastAsia" w:ascii="仿宋" w:hAnsi="仿宋" w:eastAsia="仿宋" w:cs="仿宋"/>
          <w:b/>
          <w:bCs/>
          <w:sz w:val="24"/>
          <w:szCs w:val="24"/>
          <w:highlight w:val="none"/>
        </w:rPr>
        <w:t>适用范围</w:t>
      </w:r>
      <w:bookmarkEnd w:id="27"/>
    </w:p>
    <w:p w14:paraId="59580D32">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 本招标文件仅适用于本次采购所叙述的货物采购。</w:t>
      </w:r>
    </w:p>
    <w:p w14:paraId="5623C2EA">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 本招标文件的解释权归采购人和采购代理机构所有。</w:t>
      </w:r>
    </w:p>
    <w:p w14:paraId="4F0B38AF">
      <w:pPr>
        <w:spacing w:line="360" w:lineRule="auto"/>
        <w:ind w:firstLine="480" w:firstLineChars="200"/>
        <w:rPr>
          <w:rFonts w:hint="eastAsia" w:ascii="仿宋" w:hAnsi="仿宋" w:eastAsia="仿宋" w:cs="仿宋"/>
          <w:b/>
          <w:bCs/>
          <w:sz w:val="24"/>
          <w:szCs w:val="24"/>
          <w:highlight w:val="none"/>
        </w:rPr>
      </w:pPr>
      <w:bookmarkStart w:id="28" w:name="_Toc183582206"/>
      <w:bookmarkStart w:id="29" w:name="_Toc217446035"/>
      <w:bookmarkStart w:id="30" w:name="_Toc183682343"/>
      <w:r>
        <w:rPr>
          <w:rFonts w:hint="eastAsia" w:ascii="仿宋" w:hAnsi="仿宋" w:eastAsia="仿宋" w:cs="仿宋"/>
          <w:b/>
          <w:bCs/>
          <w:sz w:val="24"/>
          <w:szCs w:val="24"/>
          <w:highlight w:val="none"/>
        </w:rPr>
        <w:t>2.</w:t>
      </w:r>
      <w:bookmarkEnd w:id="28"/>
      <w:bookmarkEnd w:id="29"/>
      <w:bookmarkEnd w:id="30"/>
      <w:r>
        <w:rPr>
          <w:rFonts w:hint="eastAsia" w:ascii="仿宋" w:hAnsi="仿宋" w:eastAsia="仿宋" w:cs="仿宋"/>
          <w:b/>
          <w:bCs/>
          <w:sz w:val="24"/>
          <w:szCs w:val="24"/>
          <w:highlight w:val="none"/>
        </w:rPr>
        <w:t>采购主体</w:t>
      </w:r>
    </w:p>
    <w:p w14:paraId="70715E91">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2.1本次采购人是</w:t>
      </w:r>
      <w:r>
        <w:rPr>
          <w:rFonts w:hint="eastAsia" w:ascii="仿宋" w:hAnsi="仿宋" w:eastAsia="仿宋" w:cs="仿宋"/>
          <w:sz w:val="24"/>
          <w:szCs w:val="24"/>
          <w:highlight w:val="none"/>
          <w:u w:val="single"/>
        </w:rPr>
        <w:t>富顺县中医医院</w:t>
      </w:r>
      <w:r>
        <w:rPr>
          <w:rFonts w:hint="eastAsia" w:ascii="仿宋" w:hAnsi="仿宋" w:eastAsia="仿宋" w:cs="仿宋"/>
          <w:sz w:val="24"/>
          <w:szCs w:val="24"/>
          <w:highlight w:val="none"/>
        </w:rPr>
        <w:t>。</w:t>
      </w:r>
    </w:p>
    <w:p w14:paraId="0BDAA9C5">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2.2本次采购代理机构是</w:t>
      </w:r>
      <w:r>
        <w:rPr>
          <w:rFonts w:hint="eastAsia" w:ascii="仿宋" w:hAnsi="仿宋" w:eastAsia="仿宋" w:cs="仿宋"/>
          <w:sz w:val="24"/>
          <w:szCs w:val="24"/>
          <w:highlight w:val="none"/>
          <w:u w:val="single"/>
          <w:lang w:eastAsia="zh-CN"/>
        </w:rPr>
        <w:t>四川中采项目管理有限公司</w:t>
      </w:r>
      <w:r>
        <w:rPr>
          <w:rFonts w:hint="eastAsia" w:ascii="仿宋" w:hAnsi="仿宋" w:eastAsia="仿宋" w:cs="仿宋"/>
          <w:sz w:val="24"/>
          <w:szCs w:val="24"/>
          <w:highlight w:val="none"/>
        </w:rPr>
        <w:t>。</w:t>
      </w:r>
    </w:p>
    <w:p w14:paraId="111D1CE8">
      <w:pPr>
        <w:spacing w:line="360" w:lineRule="auto"/>
        <w:ind w:firstLine="480" w:firstLineChars="200"/>
        <w:rPr>
          <w:rFonts w:hint="eastAsia" w:ascii="仿宋" w:hAnsi="仿宋" w:eastAsia="仿宋" w:cs="仿宋"/>
          <w:b/>
          <w:bCs/>
          <w:sz w:val="24"/>
          <w:szCs w:val="24"/>
          <w:highlight w:val="none"/>
        </w:rPr>
      </w:pPr>
      <w:bookmarkStart w:id="31" w:name="_Toc183682344"/>
      <w:bookmarkStart w:id="32" w:name="_Toc183582207"/>
      <w:bookmarkStart w:id="33" w:name="_Toc217390843"/>
      <w:bookmarkStart w:id="34" w:name="_Toc217446036"/>
      <w:r>
        <w:rPr>
          <w:rFonts w:hint="eastAsia" w:ascii="仿宋" w:hAnsi="仿宋" w:eastAsia="仿宋" w:cs="仿宋"/>
          <w:b/>
          <w:bCs/>
          <w:sz w:val="24"/>
          <w:szCs w:val="24"/>
          <w:highlight w:val="none"/>
        </w:rPr>
        <w:t>3.合格</w:t>
      </w:r>
      <w:bookmarkEnd w:id="31"/>
      <w:bookmarkEnd w:id="32"/>
      <w:bookmarkEnd w:id="33"/>
      <w:bookmarkEnd w:id="34"/>
      <w:r>
        <w:rPr>
          <w:rFonts w:hint="eastAsia" w:ascii="仿宋" w:hAnsi="仿宋" w:eastAsia="仿宋" w:cs="仿宋"/>
          <w:b/>
          <w:bCs/>
          <w:sz w:val="24"/>
          <w:szCs w:val="24"/>
          <w:highlight w:val="none"/>
        </w:rPr>
        <w:t>投标人（实质性要求）</w:t>
      </w:r>
    </w:p>
    <w:p w14:paraId="3481AF8E">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合格投标人应具备以下条件：</w:t>
      </w:r>
    </w:p>
    <w:p w14:paraId="35812245">
      <w:pPr>
        <w:tabs>
          <w:tab w:val="left" w:pos="7665"/>
        </w:tabs>
        <w:spacing w:line="360" w:lineRule="auto"/>
        <w:ind w:firstLine="480" w:firstLineChars="200"/>
        <w:rPr>
          <w:rFonts w:hint="eastAsia" w:ascii="仿宋" w:hAnsi="仿宋" w:eastAsia="仿宋" w:cs="仿宋"/>
          <w:spacing w:val="-4"/>
          <w:sz w:val="24"/>
          <w:szCs w:val="24"/>
          <w:highlight w:val="none"/>
        </w:rPr>
      </w:pPr>
      <w:r>
        <w:rPr>
          <w:rFonts w:hint="eastAsia" w:ascii="仿宋" w:hAnsi="仿宋" w:eastAsia="仿宋" w:cs="仿宋"/>
          <w:sz w:val="24"/>
          <w:szCs w:val="24"/>
          <w:highlight w:val="none"/>
        </w:rPr>
        <w:t>3.1 具备本招标文件规定的资格条件</w:t>
      </w:r>
      <w:r>
        <w:rPr>
          <w:rFonts w:hint="eastAsia" w:ascii="仿宋" w:hAnsi="仿宋" w:eastAsia="仿宋" w:cs="仿宋"/>
          <w:spacing w:val="-4"/>
          <w:sz w:val="24"/>
          <w:szCs w:val="24"/>
          <w:highlight w:val="none"/>
        </w:rPr>
        <w:t>；</w:t>
      </w:r>
    </w:p>
    <w:p w14:paraId="6E3A158F">
      <w:pPr>
        <w:tabs>
          <w:tab w:val="left" w:pos="7665"/>
        </w:tabs>
        <w:spacing w:line="360" w:lineRule="auto"/>
        <w:ind w:firstLine="464" w:firstLineChars="200"/>
        <w:rPr>
          <w:rFonts w:hint="eastAsia" w:ascii="仿宋" w:hAnsi="仿宋" w:eastAsia="仿宋" w:cs="仿宋"/>
          <w:sz w:val="24"/>
          <w:szCs w:val="24"/>
          <w:highlight w:val="none"/>
        </w:rPr>
      </w:pPr>
      <w:r>
        <w:rPr>
          <w:rFonts w:hint="eastAsia" w:ascii="仿宋" w:hAnsi="仿宋" w:eastAsia="仿宋" w:cs="仿宋"/>
          <w:spacing w:val="-4"/>
          <w:sz w:val="24"/>
          <w:szCs w:val="24"/>
          <w:highlight w:val="none"/>
        </w:rPr>
        <w:t>3.2 按照规定</w:t>
      </w:r>
      <w:r>
        <w:rPr>
          <w:rFonts w:hint="eastAsia" w:ascii="仿宋" w:hAnsi="仿宋" w:eastAsia="仿宋" w:cs="仿宋"/>
          <w:sz w:val="24"/>
          <w:szCs w:val="24"/>
          <w:highlight w:val="none"/>
        </w:rPr>
        <w:t>获取了招标文件，属于实质性参加采购活动的投标人。</w:t>
      </w:r>
      <w:bookmarkStart w:id="35" w:name="_Toc183582208"/>
      <w:bookmarkStart w:id="36" w:name="_Toc217446037"/>
      <w:bookmarkStart w:id="37" w:name="_Toc183682345"/>
    </w:p>
    <w:p w14:paraId="686E619E">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b/>
          <w:bCs/>
          <w:sz w:val="24"/>
          <w:szCs w:val="24"/>
          <w:highlight w:val="none"/>
        </w:rPr>
        <w:t>4.费用</w:t>
      </w:r>
      <w:bookmarkEnd w:id="35"/>
      <w:bookmarkEnd w:id="36"/>
      <w:bookmarkEnd w:id="37"/>
    </w:p>
    <w:p w14:paraId="50E51200">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投标人应自行承担参加本次采购活动的全部费用。不论结果如何，采购人、采购代理机构均无义务和责任承担这些费用。</w:t>
      </w:r>
    </w:p>
    <w:p w14:paraId="4317E1EE">
      <w:pPr>
        <w:pStyle w:val="28"/>
        <w:numPr>
          <w:ilvl w:val="0"/>
          <w:numId w:val="0"/>
        </w:numPr>
        <w:spacing w:line="360" w:lineRule="auto"/>
        <w:ind w:firstLine="480" w:firstLineChars="200"/>
        <w:rPr>
          <w:rFonts w:hint="default" w:ascii="仿宋" w:hAnsi="仿宋" w:eastAsia="仿宋" w:cs="仿宋"/>
          <w:i w:val="0"/>
          <w:iCs w:val="0"/>
          <w:color w:val="FF0000"/>
          <w:kern w:val="0"/>
          <w:sz w:val="22"/>
          <w:szCs w:val="22"/>
          <w:u w:val="none"/>
          <w:lang w:val="en-US" w:eastAsia="zh-CN" w:bidi="ar"/>
        </w:rPr>
      </w:pPr>
      <w:r>
        <w:rPr>
          <w:rFonts w:hint="eastAsia" w:ascii="仿宋" w:hAnsi="仿宋" w:eastAsia="仿宋" w:cs="仿宋"/>
          <w:b/>
          <w:sz w:val="24"/>
          <w:szCs w:val="24"/>
          <w:highlight w:val="none"/>
          <w:lang w:val="en-US" w:eastAsia="zh-CN"/>
        </w:rPr>
        <w:t>5.</w:t>
      </w:r>
      <w:r>
        <w:rPr>
          <w:rFonts w:hint="eastAsia" w:ascii="仿宋" w:hAnsi="仿宋" w:eastAsia="仿宋" w:cs="仿宋"/>
          <w:b/>
          <w:sz w:val="24"/>
          <w:szCs w:val="24"/>
          <w:highlight w:val="none"/>
        </w:rPr>
        <w:t>充分、公平竞争保障措施（实质性要求）</w:t>
      </w:r>
    </w:p>
    <w:p w14:paraId="2565D8C6">
      <w:pPr>
        <w:pStyle w:val="28"/>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利害关系投标人处理。单位负责人为同一人或者存在直接控股、管理关系的不同投标人不得参加同一合同项下的采购活动。</w:t>
      </w:r>
    </w:p>
    <w:p w14:paraId="43143781">
      <w:pPr>
        <w:pStyle w:val="28"/>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利害关系授权代表处理。两家以上的投标人不得在同一合同项下的采购项目中，委托同一个自然人、同一家庭的人员、同一单位的人员作为其授权代表，否则，其投标文件作为无效处理。</w:t>
      </w:r>
    </w:p>
    <w:p w14:paraId="0EB09AC4">
      <w:pPr>
        <w:pStyle w:val="28"/>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前期参与投标人处理。为采购项目提供整体设计、规范编制或者项目管理、监理、检测等服务的投标人，不得再参加该采购项目的其他采购活动。投标人为采购人、采购代理机构在确定招标需求、编制招标文件过程中提供咨询论证，其提供的咨询论证意见成为招标文件中规定的投标人资格条件、技术服务商务要求、评标因素和标准、采购合同等实质性内容条款的，视同为采购项目提供规范编制。</w:t>
      </w:r>
    </w:p>
    <w:p w14:paraId="390BFED9">
      <w:pPr>
        <w:pStyle w:val="28"/>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投标人实际控制人或者中高级管理人员，同时是采购代理机构工作人员，不得参与本项目采购活动。</w:t>
      </w:r>
    </w:p>
    <w:p w14:paraId="2CF690D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投标人与采购代理机构存在关联关系，或者是采购代理机构的母公司或子公司，不得参加本项目采购活动。</w:t>
      </w:r>
    </w:p>
    <w:p w14:paraId="5811EDB0">
      <w:pPr>
        <w:pStyle w:val="28"/>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回避。采购活动中，采购人员及相关人员与投标人有下列利害关系之一的，应当回避：</w:t>
      </w:r>
    </w:p>
    <w:p w14:paraId="586BCA6F">
      <w:pPr>
        <w:pStyle w:val="28"/>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（1）参加采购活动前3年内与投标人存在劳动关系；</w:t>
      </w:r>
    </w:p>
    <w:p w14:paraId="0318ABD7">
      <w:pPr>
        <w:pStyle w:val="28"/>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（2）参加采购活动前3年内担任投标人的董事、监事；</w:t>
      </w:r>
    </w:p>
    <w:p w14:paraId="41BDCCE6">
      <w:pPr>
        <w:pStyle w:val="28"/>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（3）参加采购活动前3年内是投标人的控股股东或者实际控制人；</w:t>
      </w:r>
    </w:p>
    <w:p w14:paraId="79ED5762">
      <w:pPr>
        <w:pStyle w:val="28"/>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（4）与投标人的法定代表人或者负责人有夫妻、直系血亲、三代以内旁系血亲或者近姻亲关系；</w:t>
      </w:r>
    </w:p>
    <w:p w14:paraId="23BF74D9">
      <w:pPr>
        <w:pStyle w:val="61"/>
        <w:spacing w:after="0"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（5）与投标人有其他可能影响采购活动公平、公正进行的关系。</w:t>
      </w:r>
    </w:p>
    <w:p w14:paraId="2251AFB8">
      <w:pPr>
        <w:pStyle w:val="28"/>
        <w:spacing w:line="360" w:lineRule="auto"/>
        <w:ind w:left="1"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6.联合体参与采购活动</w:t>
      </w:r>
    </w:p>
    <w:p w14:paraId="5D60B3BD">
      <w:pPr>
        <w:pStyle w:val="28"/>
        <w:spacing w:line="360" w:lineRule="auto"/>
        <w:ind w:left="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本项目不接受联合体参与采购活动。</w:t>
      </w:r>
    </w:p>
    <w:p w14:paraId="02B7A982">
      <w:pPr>
        <w:pStyle w:val="28"/>
        <w:spacing w:line="360" w:lineRule="auto"/>
        <w:ind w:left="1"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7.投标保证金：本项目不收取投标保证金。</w:t>
      </w:r>
    </w:p>
    <w:p w14:paraId="09792489">
      <w:pPr>
        <w:spacing w:line="360" w:lineRule="auto"/>
        <w:ind w:firstLine="470" w:firstLineChars="196"/>
        <w:rPr>
          <w:rFonts w:hint="eastAsia" w:ascii="仿宋" w:hAnsi="仿宋" w:eastAsia="仿宋" w:cs="仿宋"/>
          <w:b/>
          <w:sz w:val="24"/>
          <w:szCs w:val="24"/>
          <w:highlight w:val="none"/>
        </w:rPr>
      </w:pPr>
      <w:r>
        <w:rPr>
          <w:rFonts w:hint="eastAsia" w:ascii="仿宋" w:hAnsi="仿宋" w:eastAsia="仿宋" w:cs="仿宋"/>
          <w:b/>
          <w:sz w:val="24"/>
          <w:szCs w:val="24"/>
          <w:highlight w:val="none"/>
        </w:rPr>
        <w:t>8.投标文件有效期</w:t>
      </w:r>
    </w:p>
    <w:p w14:paraId="439E8CEF">
      <w:pPr>
        <w:spacing w:line="360" w:lineRule="auto"/>
        <w:ind w:firstLine="470" w:firstLineChars="196"/>
        <w:rPr>
          <w:rFonts w:hint="eastAsia" w:ascii="仿宋" w:hAnsi="仿宋" w:eastAsia="仿宋" w:cs="仿宋"/>
          <w:sz w:val="24"/>
          <w:szCs w:val="24"/>
          <w:highlight w:val="none"/>
        </w:rPr>
      </w:pPr>
      <w:r>
        <w:rPr>
          <w:rFonts w:hint="eastAsia" w:ascii="仿宋" w:hAnsi="仿宋" w:eastAsia="仿宋" w:cs="仿宋"/>
          <w:sz w:val="24"/>
          <w:szCs w:val="24"/>
          <w:highlight w:val="none"/>
        </w:rPr>
        <w:t>本项目投标文件有效期为递交投标文件截止之日起</w:t>
      </w:r>
      <w:r>
        <w:rPr>
          <w:rFonts w:hint="eastAsia" w:ascii="仿宋" w:hAnsi="仿宋" w:eastAsia="仿宋" w:cs="仿宋"/>
          <w:sz w:val="24"/>
          <w:szCs w:val="24"/>
          <w:highlight w:val="none"/>
          <w:u w:val="single"/>
        </w:rPr>
        <w:t xml:space="preserve"> </w:t>
      </w:r>
      <w:r>
        <w:rPr>
          <w:rFonts w:hint="eastAsia" w:ascii="仿宋" w:hAnsi="仿宋" w:eastAsia="仿宋" w:cs="仿宋"/>
          <w:b/>
          <w:bCs/>
          <w:sz w:val="24"/>
          <w:szCs w:val="24"/>
          <w:highlight w:val="none"/>
          <w:u w:val="single"/>
        </w:rPr>
        <w:t xml:space="preserve">90 </w:t>
      </w:r>
      <w:r>
        <w:rPr>
          <w:rFonts w:hint="eastAsia" w:ascii="仿宋" w:hAnsi="仿宋" w:eastAsia="仿宋" w:cs="仿宋"/>
          <w:sz w:val="24"/>
          <w:szCs w:val="24"/>
          <w:highlight w:val="none"/>
        </w:rPr>
        <w:t>天。投标人投标文件中必须载明投标文件有效期，投标文件中载明的投标文件有效期可以长于招标文件规定的期限，但不得短于招标文件规定的期限。否则，其投标文件将作为无效处理。</w:t>
      </w:r>
    </w:p>
    <w:p w14:paraId="4E951ABE">
      <w:pPr>
        <w:pStyle w:val="34"/>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14:paraId="29C9F782">
      <w:pPr>
        <w:spacing w:line="360" w:lineRule="auto"/>
        <w:ind w:firstLine="470" w:firstLineChars="196"/>
        <w:rPr>
          <w:rFonts w:hint="eastAsia" w:ascii="仿宋" w:hAnsi="仿宋" w:eastAsia="仿宋" w:cs="仿宋"/>
          <w:sz w:val="24"/>
          <w:szCs w:val="24"/>
          <w:highlight w:val="none"/>
        </w:rPr>
      </w:pPr>
      <w:r>
        <w:rPr>
          <w:rFonts w:hint="eastAsia" w:ascii="仿宋" w:hAnsi="仿宋" w:eastAsia="仿宋" w:cs="仿宋"/>
          <w:sz w:val="24"/>
          <w:szCs w:val="24"/>
          <w:highlight w:val="none"/>
        </w:rPr>
        <w:t>因采购人招标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48BF20E3">
      <w:pPr>
        <w:pStyle w:val="9"/>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sz w:val="24"/>
          <w:szCs w:val="24"/>
          <w:highlight w:val="none"/>
        </w:rPr>
        <w:t>9.</w:t>
      </w:r>
      <w:r>
        <w:rPr>
          <w:rFonts w:hint="eastAsia" w:ascii="仿宋" w:hAnsi="仿宋" w:eastAsia="仿宋" w:cs="仿宋"/>
          <w:b/>
          <w:bCs/>
          <w:sz w:val="24"/>
          <w:szCs w:val="24"/>
          <w:highlight w:val="none"/>
        </w:rPr>
        <w:t>知识产权</w:t>
      </w:r>
    </w:p>
    <w:p w14:paraId="06C6FEFE">
      <w:pPr>
        <w:pStyle w:val="9"/>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9.1 投标人应保证在本项目中使用的任何产品和服务（包括部分使用），不会产生因第三方提出侵犯其专利权、商标权或其它知识产权而引起的法律和经济纠纷，如因专利权、商标权或其它知识产权而引起法律和经济纠纷，由投标人承担所有相关责任。</w:t>
      </w:r>
    </w:p>
    <w:p w14:paraId="30205309">
      <w:pPr>
        <w:pStyle w:val="9"/>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9.2 除非招标文件特别规定，采购人享有本项目实施过程中产生的知识成果及知识产权。</w:t>
      </w:r>
    </w:p>
    <w:p w14:paraId="09B5E5C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9.3投标人将在招标项目实施过程中采用自有或者第三方知识成果的，应当在投标文件中载明，并提供相关知识产权证明文件。使用该知识成果后，投标人需提供开发接口和开发手册等技术资料，并承诺提供无限期支持，采购人享有使用权（含采购人委托第三方在该项目后续开发的使用权）。</w:t>
      </w:r>
    </w:p>
    <w:p w14:paraId="17B45972">
      <w:pPr>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9.4 如采用投标人所不拥有的知识产权，则在报价中必须包括合法获取该知识产权的相关费用。 </w:t>
      </w:r>
    </w:p>
    <w:p w14:paraId="1FEC8607">
      <w:pPr>
        <w:pStyle w:val="5"/>
        <w:keepNext w:val="0"/>
        <w:keepLines w:val="0"/>
        <w:spacing w:before="0" w:after="0" w:line="360" w:lineRule="auto"/>
        <w:jc w:val="center"/>
        <w:rPr>
          <w:rFonts w:hint="eastAsia" w:ascii="仿宋" w:hAnsi="仿宋" w:eastAsia="仿宋" w:cs="仿宋"/>
          <w:bCs w:val="0"/>
          <w:sz w:val="28"/>
          <w:szCs w:val="28"/>
          <w:highlight w:val="none"/>
        </w:rPr>
      </w:pPr>
      <w:bookmarkStart w:id="38" w:name="_Toc77400779"/>
      <w:bookmarkStart w:id="39" w:name="_Toc183682346"/>
      <w:bookmarkStart w:id="40" w:name="_Toc217446038"/>
      <w:bookmarkStart w:id="41" w:name="_Toc183582209"/>
      <w:bookmarkStart w:id="42" w:name="_Toc89075875"/>
      <w:bookmarkStart w:id="43" w:name="_Toc17392"/>
      <w:r>
        <w:rPr>
          <w:rFonts w:hint="eastAsia" w:ascii="仿宋" w:hAnsi="仿宋" w:eastAsia="仿宋" w:cs="仿宋"/>
          <w:bCs w:val="0"/>
          <w:sz w:val="28"/>
          <w:szCs w:val="28"/>
          <w:highlight w:val="none"/>
        </w:rPr>
        <w:t>三、</w:t>
      </w:r>
      <w:bookmarkEnd w:id="38"/>
      <w:bookmarkEnd w:id="39"/>
      <w:bookmarkEnd w:id="40"/>
      <w:bookmarkEnd w:id="41"/>
      <w:bookmarkEnd w:id="42"/>
      <w:r>
        <w:rPr>
          <w:rFonts w:hint="eastAsia" w:ascii="仿宋" w:hAnsi="仿宋" w:eastAsia="仿宋" w:cs="仿宋"/>
          <w:bCs w:val="0"/>
          <w:sz w:val="28"/>
          <w:szCs w:val="28"/>
          <w:highlight w:val="none"/>
        </w:rPr>
        <w:t>招标文件</w:t>
      </w:r>
      <w:bookmarkEnd w:id="43"/>
    </w:p>
    <w:p w14:paraId="13C49FAE">
      <w:pPr>
        <w:spacing w:line="360" w:lineRule="auto"/>
        <w:ind w:firstLine="480" w:firstLineChars="200"/>
        <w:rPr>
          <w:rFonts w:hint="eastAsia" w:ascii="仿宋" w:hAnsi="仿宋" w:eastAsia="仿宋" w:cs="仿宋"/>
          <w:b/>
          <w:bCs/>
          <w:sz w:val="24"/>
          <w:szCs w:val="24"/>
          <w:highlight w:val="none"/>
        </w:rPr>
      </w:pPr>
      <w:bookmarkStart w:id="44" w:name="_Toc217446039"/>
      <w:bookmarkStart w:id="45" w:name="_Toc183582210"/>
      <w:bookmarkStart w:id="46" w:name="_Toc183682347"/>
      <w:r>
        <w:rPr>
          <w:rFonts w:hint="eastAsia" w:ascii="仿宋" w:hAnsi="仿宋" w:eastAsia="仿宋" w:cs="仿宋"/>
          <w:b/>
          <w:bCs/>
          <w:sz w:val="24"/>
          <w:szCs w:val="24"/>
          <w:highlight w:val="none"/>
        </w:rPr>
        <w:t>10．招标文件的构成</w:t>
      </w:r>
      <w:bookmarkEnd w:id="44"/>
      <w:bookmarkEnd w:id="45"/>
      <w:bookmarkEnd w:id="46"/>
    </w:p>
    <w:p w14:paraId="0D45F5A0">
      <w:pPr>
        <w:tabs>
          <w:tab w:val="left" w:pos="7665"/>
        </w:tabs>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szCs w:val="24"/>
          <w:highlight w:val="none"/>
        </w:rPr>
        <w:t>10</w:t>
      </w:r>
      <w:r>
        <w:rPr>
          <w:rFonts w:hint="eastAsia" w:ascii="仿宋" w:hAnsi="仿宋" w:eastAsia="仿宋" w:cs="仿宋"/>
          <w:b/>
          <w:bCs/>
          <w:sz w:val="24"/>
          <w:szCs w:val="24"/>
          <w:highlight w:val="none"/>
        </w:rPr>
        <w:t>.</w:t>
      </w:r>
      <w:r>
        <w:rPr>
          <w:rFonts w:hint="eastAsia" w:ascii="仿宋" w:hAnsi="仿宋" w:eastAsia="仿宋" w:cs="仿宋"/>
          <w:sz w:val="24"/>
          <w:szCs w:val="24"/>
          <w:highlight w:val="none"/>
        </w:rPr>
        <w:t>1 招标文件是投标人准备投标文件和参加招标活动的依据，同时也是招标活动的重要依据。招标文件用以阐明招标项目所需的资质、技术、服务及报价等要求、招标程序、有关规定和注意事项以及合同主要条款等。</w:t>
      </w:r>
      <w:r>
        <w:rPr>
          <w:rFonts w:hint="eastAsia" w:ascii="仿宋" w:hAnsi="仿宋" w:eastAsia="仿宋" w:cs="仿宋"/>
          <w:sz w:val="24"/>
          <w:highlight w:val="none"/>
        </w:rPr>
        <w:t>本招标文件包括以下内容：</w:t>
      </w:r>
    </w:p>
    <w:p w14:paraId="185B02A0">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（一）投标邀请；</w:t>
      </w:r>
    </w:p>
    <w:p w14:paraId="27385C29">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（二）投标人须知；</w:t>
      </w:r>
    </w:p>
    <w:p w14:paraId="51D6061E">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（三）投标人资格条件要求；</w:t>
      </w:r>
    </w:p>
    <w:p w14:paraId="1D1798F5">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（四）投标人资格证明材料；</w:t>
      </w:r>
    </w:p>
    <w:p w14:paraId="1DC484EE">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（五）招标项目技术、服务、采购合同内容条款及其他商务要求；</w:t>
      </w:r>
    </w:p>
    <w:p w14:paraId="0BA983CA">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（六）投标文件格式；</w:t>
      </w:r>
    </w:p>
    <w:p w14:paraId="6108EEB5">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（七）评标办法；</w:t>
      </w:r>
    </w:p>
    <w:p w14:paraId="42F81F3F">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（八）采购合同（草案）；</w:t>
      </w:r>
    </w:p>
    <w:p w14:paraId="5A29FCB1">
      <w:pPr>
        <w:tabs>
          <w:tab w:val="left" w:pos="720"/>
        </w:tabs>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（九）附件。</w:t>
      </w:r>
    </w:p>
    <w:p w14:paraId="327944BA">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w:t>
      </w:r>
      <w:r>
        <w:rPr>
          <w:rFonts w:hint="eastAsia" w:ascii="仿宋" w:hAnsi="仿宋" w:eastAsia="仿宋" w:cs="仿宋"/>
          <w:b/>
          <w:bCs/>
          <w:sz w:val="24"/>
          <w:szCs w:val="24"/>
          <w:highlight w:val="none"/>
        </w:rPr>
        <w:t>.</w:t>
      </w:r>
      <w:r>
        <w:rPr>
          <w:rFonts w:hint="eastAsia" w:ascii="仿宋" w:hAnsi="仿宋" w:eastAsia="仿宋" w:cs="仿宋"/>
          <w:sz w:val="24"/>
          <w:szCs w:val="24"/>
          <w:highlight w:val="none"/>
        </w:rPr>
        <w:t>2 投标人应认真阅读和充分理解招标文件中所有的事项、格式条款和规范要求。投标人应详细阅读招标文件的全部内容，按照招标文件的要求提供投标文件，并保证所提供的全部资料的真实性和有效性，一经发现有虚假行为的，将取消其参加招标活动或中标资格，并承担相应的法律责任。</w:t>
      </w:r>
    </w:p>
    <w:p w14:paraId="07FB1A45">
      <w:pPr>
        <w:spacing w:line="360" w:lineRule="auto"/>
        <w:ind w:firstLine="480" w:firstLineChars="200"/>
        <w:rPr>
          <w:rFonts w:hint="eastAsia" w:ascii="仿宋" w:hAnsi="仿宋" w:eastAsia="仿宋" w:cs="仿宋"/>
          <w:b/>
          <w:bCs/>
          <w:sz w:val="24"/>
          <w:szCs w:val="24"/>
          <w:highlight w:val="none"/>
        </w:rPr>
      </w:pPr>
      <w:bookmarkStart w:id="47" w:name="_Toc183682348"/>
      <w:bookmarkStart w:id="48" w:name="_Toc183582211"/>
      <w:bookmarkStart w:id="49" w:name="_Toc217446040"/>
      <w:r>
        <w:rPr>
          <w:rFonts w:hint="eastAsia" w:ascii="仿宋" w:hAnsi="仿宋" w:eastAsia="仿宋" w:cs="仿宋"/>
          <w:b/>
          <w:bCs/>
          <w:sz w:val="24"/>
          <w:szCs w:val="24"/>
          <w:highlight w:val="none"/>
        </w:rPr>
        <w:t>11. 招标文件的澄清</w:t>
      </w:r>
      <w:bookmarkEnd w:id="47"/>
      <w:bookmarkEnd w:id="48"/>
      <w:r>
        <w:rPr>
          <w:rFonts w:hint="eastAsia" w:ascii="仿宋" w:hAnsi="仿宋" w:eastAsia="仿宋" w:cs="仿宋"/>
          <w:b/>
          <w:bCs/>
          <w:sz w:val="24"/>
          <w:szCs w:val="24"/>
          <w:highlight w:val="none"/>
        </w:rPr>
        <w:t>和修改</w:t>
      </w:r>
      <w:bookmarkEnd w:id="49"/>
    </w:p>
    <w:p w14:paraId="59CD4239">
      <w:pPr>
        <w:tabs>
          <w:tab w:val="left" w:pos="72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11.1 在递交投标文件截止时间前，采购人、采购代理机构可以对招标文件进行澄清或者修改。</w:t>
      </w:r>
    </w:p>
    <w:p w14:paraId="24018BDA">
      <w:pPr>
        <w:tabs>
          <w:tab w:val="left" w:pos="72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11.2 采购代理机构对已发出的招标文件进行澄清或者修改，应当以书面形式将澄清或者修改的内容通知所有购买了招标文件的投标人，同时在</w:t>
      </w:r>
      <w:r>
        <w:rPr>
          <w:rFonts w:hint="eastAsia" w:ascii="仿宋" w:hAnsi="仿宋" w:eastAsia="仿宋" w:cs="仿宋"/>
          <w:sz w:val="24"/>
          <w:highlight w:val="none"/>
        </w:rPr>
        <w:t>中国采购与招标网</w:t>
      </w:r>
      <w:r>
        <w:rPr>
          <w:rFonts w:hint="eastAsia" w:ascii="仿宋" w:hAnsi="仿宋" w:eastAsia="仿宋" w:cs="仿宋"/>
          <w:sz w:val="24"/>
          <w:szCs w:val="24"/>
          <w:highlight w:val="none"/>
        </w:rPr>
        <w:t>上发布更正公告。该澄清或者修改的内容为招标文件的组成部分，澄清或者修改的内容可能影响投标文件编制的，采购人或者采购代理机构发布公告并书面通知投标人的时间，应当在提交首次投标文件截止之日起15日前；不足上述时间的，应当顺延递交投标文件的截止时间。</w:t>
      </w:r>
    </w:p>
    <w:p w14:paraId="03FDB9EB">
      <w:pPr>
        <w:tabs>
          <w:tab w:val="left" w:pos="7665"/>
        </w:tabs>
        <w:spacing w:line="360" w:lineRule="auto"/>
        <w:ind w:firstLine="480" w:firstLineChars="20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11.3 投标人应于投标文件递交截止时间之前在</w:t>
      </w:r>
      <w:r>
        <w:rPr>
          <w:rFonts w:hint="eastAsia" w:ascii="仿宋" w:hAnsi="仿宋" w:eastAsia="仿宋" w:cs="仿宋"/>
          <w:sz w:val="24"/>
          <w:highlight w:val="none"/>
        </w:rPr>
        <w:t>中国采购与招标网</w:t>
      </w:r>
      <w:r>
        <w:rPr>
          <w:rFonts w:hint="eastAsia" w:ascii="仿宋" w:hAnsi="仿宋" w:eastAsia="仿宋" w:cs="仿宋"/>
          <w:kern w:val="2"/>
          <w:sz w:val="24"/>
          <w:szCs w:val="24"/>
          <w:highlight w:val="none"/>
        </w:rPr>
        <w:t>查询本项目的更正公告，以保证其对招标文件做出正确的响应。投标人未按要求下载相关文件，或由于未及时关注更正公告的信息造成的后果，其责任由投标人自行负责。</w:t>
      </w:r>
    </w:p>
    <w:p w14:paraId="6F85CCD0">
      <w:pPr>
        <w:spacing w:line="360" w:lineRule="auto"/>
        <w:ind w:firstLine="480" w:firstLineChars="200"/>
        <w:rPr>
          <w:rFonts w:hint="eastAsia" w:ascii="仿宋" w:hAnsi="仿宋" w:eastAsia="仿宋" w:cs="仿宋"/>
          <w:b/>
          <w:bCs/>
          <w:sz w:val="24"/>
          <w:szCs w:val="24"/>
          <w:highlight w:val="none"/>
        </w:rPr>
      </w:pPr>
      <w:bookmarkStart w:id="50" w:name="_Toc217446041"/>
      <w:bookmarkStart w:id="51" w:name="_Toc208848971"/>
      <w:r>
        <w:rPr>
          <w:rFonts w:hint="eastAsia" w:ascii="仿宋" w:hAnsi="仿宋" w:eastAsia="仿宋" w:cs="仿宋"/>
          <w:b/>
          <w:bCs/>
          <w:sz w:val="24"/>
          <w:szCs w:val="24"/>
          <w:highlight w:val="none"/>
        </w:rPr>
        <w:t>12. 答疑会和现场考察</w:t>
      </w:r>
      <w:bookmarkEnd w:id="50"/>
      <w:bookmarkEnd w:id="51"/>
    </w:p>
    <w:p w14:paraId="0E90AEE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12.1 根据招标项目和具体情况，采购人、采购代理机构认为有必要，可以在招标文件提供期限截止后投标文件提交截止前，组织已获取招标文件的潜在投标人现场考察或者召开答疑会。</w:t>
      </w:r>
    </w:p>
    <w:p w14:paraId="0B01BB5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12.2采购人、采购代理机构组织现场考察或者召开答疑会的，将以书面形式通知所有获取招标文件的潜在投标人。投标人接到通知后，不按照要求参加现场考察或者答疑会的，视同放弃参加现场考察或者答疑的权利，采购人、采购代理机构不再对该投标人重新组织，但也不会以此限制投标人提交投标文件或者以此将投标人投标文件直接作为无效处理。</w:t>
      </w:r>
    </w:p>
    <w:p w14:paraId="53F7B52C">
      <w:pPr>
        <w:adjustRightInd w:val="0"/>
        <w:snapToGrid w:val="0"/>
        <w:spacing w:line="360" w:lineRule="auto"/>
        <w:ind w:firstLine="420" w:firstLineChars="175"/>
        <w:rPr>
          <w:rFonts w:hint="eastAsia" w:ascii="仿宋" w:hAnsi="仿宋" w:eastAsia="仿宋" w:cs="仿宋"/>
          <w:sz w:val="24"/>
          <w:szCs w:val="24"/>
          <w:highlight w:val="none"/>
        </w:rPr>
      </w:pPr>
      <w:r>
        <w:rPr>
          <w:rFonts w:hint="eastAsia" w:ascii="仿宋" w:hAnsi="仿宋" w:eastAsia="仿宋" w:cs="仿宋"/>
          <w:sz w:val="24"/>
          <w:szCs w:val="24"/>
          <w:highlight w:val="none"/>
        </w:rPr>
        <w:t>12.3 投标人考察现场或者参加答疑会所发生的一切费用由投标人自己承担。</w:t>
      </w:r>
    </w:p>
    <w:p w14:paraId="3BFFDE04">
      <w:pPr>
        <w:pStyle w:val="5"/>
        <w:keepNext w:val="0"/>
        <w:keepLines w:val="0"/>
        <w:spacing w:before="0" w:after="0" w:line="360" w:lineRule="auto"/>
        <w:jc w:val="center"/>
        <w:rPr>
          <w:rFonts w:hint="eastAsia" w:ascii="仿宋" w:hAnsi="仿宋" w:eastAsia="仿宋" w:cs="仿宋"/>
          <w:bCs w:val="0"/>
          <w:sz w:val="28"/>
          <w:szCs w:val="28"/>
          <w:highlight w:val="none"/>
        </w:rPr>
      </w:pPr>
      <w:bookmarkStart w:id="52" w:name="_Toc183582214"/>
      <w:bookmarkStart w:id="53" w:name="_Toc7281"/>
      <w:bookmarkStart w:id="54" w:name="_Toc77400780"/>
      <w:bookmarkStart w:id="55" w:name="_Toc217446042"/>
      <w:bookmarkStart w:id="56" w:name="_Toc89075876"/>
      <w:bookmarkStart w:id="57" w:name="_Toc183682351"/>
      <w:r>
        <w:rPr>
          <w:rFonts w:hint="eastAsia" w:ascii="仿宋" w:hAnsi="仿宋" w:eastAsia="仿宋" w:cs="仿宋"/>
          <w:bCs w:val="0"/>
          <w:sz w:val="28"/>
          <w:szCs w:val="28"/>
          <w:highlight w:val="none"/>
        </w:rPr>
        <w:t>四、投标文件</w:t>
      </w:r>
      <w:bookmarkEnd w:id="52"/>
      <w:bookmarkEnd w:id="53"/>
      <w:bookmarkEnd w:id="54"/>
      <w:bookmarkEnd w:id="55"/>
      <w:bookmarkEnd w:id="56"/>
      <w:bookmarkEnd w:id="57"/>
    </w:p>
    <w:p w14:paraId="58D9FAA3">
      <w:pPr>
        <w:spacing w:line="360" w:lineRule="auto"/>
        <w:ind w:firstLine="480" w:firstLineChars="200"/>
        <w:rPr>
          <w:rFonts w:hint="eastAsia" w:ascii="仿宋" w:hAnsi="仿宋" w:eastAsia="仿宋" w:cs="仿宋"/>
          <w:b/>
          <w:bCs/>
          <w:sz w:val="24"/>
          <w:szCs w:val="24"/>
          <w:highlight w:val="none"/>
        </w:rPr>
      </w:pPr>
      <w:bookmarkStart w:id="58" w:name="_Toc183682352"/>
      <w:bookmarkStart w:id="59" w:name="_Toc183582215"/>
      <w:bookmarkStart w:id="60" w:name="_Toc217446043"/>
      <w:r>
        <w:rPr>
          <w:rFonts w:hint="eastAsia" w:ascii="仿宋" w:hAnsi="仿宋" w:eastAsia="仿宋" w:cs="仿宋"/>
          <w:b/>
          <w:bCs/>
          <w:sz w:val="24"/>
          <w:szCs w:val="24"/>
          <w:highlight w:val="none"/>
        </w:rPr>
        <w:t>13.投标文件的组成</w:t>
      </w:r>
    </w:p>
    <w:p w14:paraId="30F9FFAA">
      <w:pPr>
        <w:spacing w:line="360" w:lineRule="auto"/>
        <w:ind w:left="3" w:leftChars="1" w:firstLine="480" w:firstLineChars="200"/>
        <w:rPr>
          <w:rFonts w:hint="eastAsia" w:ascii="仿宋" w:hAnsi="仿宋" w:eastAsia="仿宋" w:cs="仿宋"/>
          <w:b/>
          <w:bCs/>
          <w:sz w:val="24"/>
          <w:szCs w:val="24"/>
          <w:highlight w:val="none"/>
        </w:rPr>
      </w:pPr>
      <w:r>
        <w:rPr>
          <w:rFonts w:hint="eastAsia" w:ascii="仿宋" w:hAnsi="仿宋" w:eastAsia="仿宋" w:cs="仿宋"/>
          <w:sz w:val="24"/>
          <w:szCs w:val="24"/>
          <w:highlight w:val="none"/>
        </w:rPr>
        <w:t>投标人应按照招标文件的规定和要求编制投标文件。</w:t>
      </w:r>
      <w:r>
        <w:rPr>
          <w:rFonts w:hint="eastAsia" w:ascii="仿宋" w:hAnsi="仿宋" w:eastAsia="仿宋" w:cs="仿宋"/>
          <w:b/>
          <w:bCs/>
          <w:sz w:val="24"/>
          <w:szCs w:val="24"/>
          <w:highlight w:val="none"/>
        </w:rPr>
        <w:t>投标人编写的投标文件应包括资格性投标文件和其他投标文件两部分，分册装订。</w:t>
      </w:r>
    </w:p>
    <w:p w14:paraId="1CAEF752">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文件一：资格性投标文件（实质性要求）</w:t>
      </w:r>
    </w:p>
    <w:p w14:paraId="64C7482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严格按照第三、四章要求提供相关资格、资质性及其他类似效力要求的相关证明材料。</w:t>
      </w:r>
    </w:p>
    <w:p w14:paraId="19261482">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文件二：其他投标文件</w:t>
      </w:r>
    </w:p>
    <w:p w14:paraId="6DDB6A21">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（一）开标一览表</w:t>
      </w:r>
    </w:p>
    <w:p w14:paraId="67947B2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bCs/>
          <w:sz w:val="24"/>
          <w:szCs w:val="24"/>
          <w:highlight w:val="none"/>
        </w:rPr>
        <w:t>投标人</w:t>
      </w:r>
      <w:r>
        <w:rPr>
          <w:rFonts w:hint="eastAsia" w:ascii="仿宋" w:hAnsi="仿宋" w:eastAsia="仿宋" w:cs="仿宋"/>
          <w:sz w:val="24"/>
          <w:szCs w:val="24"/>
          <w:highlight w:val="none"/>
        </w:rPr>
        <w:t>按照招标文件要求填写的“开标一览表”（格式5）（开标一览表还需单独封装一份，用于开标用）。本次招标报价要求：</w:t>
      </w:r>
    </w:p>
    <w:p w14:paraId="3E12EC8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（1）投标人的报价是投标人响应招标项目要求的全部工作内容的价格体现，包括投标人完成本项目所需的一切费用</w:t>
      </w:r>
      <w:r>
        <w:rPr>
          <w:rFonts w:hint="eastAsia" w:ascii="仿宋" w:hAnsi="仿宋" w:eastAsia="仿宋" w:cs="仿宋"/>
          <w:b/>
          <w:bCs/>
          <w:sz w:val="24"/>
          <w:szCs w:val="24"/>
          <w:highlight w:val="none"/>
        </w:rPr>
        <w:t>（实质性要求）</w:t>
      </w:r>
      <w:r>
        <w:rPr>
          <w:rFonts w:hint="eastAsia" w:ascii="仿宋" w:hAnsi="仿宋" w:eastAsia="仿宋" w:cs="仿宋"/>
          <w:sz w:val="24"/>
          <w:szCs w:val="24"/>
          <w:highlight w:val="none"/>
        </w:rPr>
        <w:t>。</w:t>
      </w:r>
    </w:p>
    <w:p w14:paraId="23F96C7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（2）投标人每种货物或服务只允许有一个报价，并且在合同履行过程中是固定不变的，任何有选择或可调整的报价将不予接受，并按无效投标处理</w:t>
      </w:r>
      <w:r>
        <w:rPr>
          <w:rFonts w:hint="eastAsia" w:ascii="仿宋" w:hAnsi="仿宋" w:eastAsia="仿宋" w:cs="仿宋"/>
          <w:b/>
          <w:bCs/>
          <w:sz w:val="24"/>
          <w:szCs w:val="24"/>
          <w:highlight w:val="none"/>
        </w:rPr>
        <w:t>（实质性要求）</w:t>
      </w:r>
      <w:r>
        <w:rPr>
          <w:rFonts w:hint="eastAsia" w:ascii="仿宋" w:hAnsi="仿宋" w:eastAsia="仿宋" w:cs="仿宋"/>
          <w:sz w:val="24"/>
          <w:szCs w:val="24"/>
          <w:highlight w:val="none"/>
        </w:rPr>
        <w:t>。</w:t>
      </w:r>
    </w:p>
    <w:p w14:paraId="55FAE655">
      <w:pPr>
        <w:pStyle w:val="2"/>
        <w:rPr>
          <w:rFonts w:hint="eastAsia"/>
        </w:rPr>
      </w:pPr>
    </w:p>
    <w:p w14:paraId="61FC60D8">
      <w:pPr>
        <w:spacing w:line="360" w:lineRule="auto"/>
        <w:ind w:firstLine="480" w:firstLineChars="200"/>
        <w:rPr>
          <w:rFonts w:hint="eastAsia" w:ascii="仿宋" w:hAnsi="仿宋" w:eastAsia="仿宋" w:cs="仿宋"/>
          <w:b/>
          <w:bCs/>
          <w:spacing w:val="6"/>
          <w:sz w:val="24"/>
          <w:highlight w:val="none"/>
        </w:rPr>
      </w:pPr>
      <w:r>
        <w:rPr>
          <w:rFonts w:hint="eastAsia" w:ascii="仿宋" w:hAnsi="仿宋" w:eastAsia="仿宋" w:cs="仿宋"/>
          <w:b/>
          <w:sz w:val="24"/>
          <w:szCs w:val="24"/>
          <w:highlight w:val="none"/>
        </w:rPr>
        <w:t>（二）</w:t>
      </w:r>
      <w:bookmarkStart w:id="61" w:name="_Toc10601_WPSOffice_Level2"/>
      <w:bookmarkStart w:id="62" w:name="_Toc1471_WPSOffice_Level2"/>
      <w:r>
        <w:rPr>
          <w:rFonts w:hint="eastAsia" w:ascii="仿宋" w:hAnsi="仿宋" w:eastAsia="仿宋" w:cs="仿宋"/>
          <w:b/>
          <w:bCs/>
          <w:spacing w:val="6"/>
          <w:sz w:val="24"/>
          <w:highlight w:val="none"/>
        </w:rPr>
        <w:t>技术服务性响应文件部分，包括但不限于以下内容：</w:t>
      </w:r>
      <w:bookmarkEnd w:id="61"/>
      <w:bookmarkEnd w:id="62"/>
    </w:p>
    <w:p w14:paraId="4E28105F">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（1）投标产品的品牌、型号、配置（包括详细的技术指标和参数）；</w:t>
      </w:r>
    </w:p>
    <w:p w14:paraId="5E7556DD">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（2）技术方案、项目实施方案、</w:t>
      </w:r>
      <w:r>
        <w:rPr>
          <w:rFonts w:hint="eastAsia" w:ascii="仿宋" w:hAnsi="仿宋" w:eastAsia="仿宋" w:cs="仿宋"/>
          <w:sz w:val="24"/>
          <w:szCs w:val="24"/>
          <w:highlight w:val="none"/>
        </w:rPr>
        <w:t>配送服务方案</w:t>
      </w:r>
      <w:r>
        <w:rPr>
          <w:rFonts w:hint="eastAsia" w:ascii="仿宋" w:hAnsi="仿宋" w:eastAsia="仿宋" w:cs="仿宋"/>
          <w:spacing w:val="6"/>
          <w:sz w:val="24"/>
          <w:highlight w:val="none"/>
        </w:rPr>
        <w:t>；</w:t>
      </w:r>
    </w:p>
    <w:p w14:paraId="43C69A5F">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（3）投标人针对本项目主要人员情况表（</w:t>
      </w:r>
      <w:r>
        <w:rPr>
          <w:rFonts w:hint="eastAsia" w:ascii="仿宋" w:hAnsi="仿宋" w:eastAsia="仿宋" w:cs="仿宋"/>
          <w:spacing w:val="6"/>
          <w:sz w:val="24"/>
          <w:szCs w:val="22"/>
          <w:highlight w:val="none"/>
        </w:rPr>
        <w:t>格式8）</w:t>
      </w:r>
      <w:r>
        <w:rPr>
          <w:rFonts w:hint="eastAsia" w:ascii="仿宋" w:hAnsi="仿宋" w:eastAsia="仿宋" w:cs="仿宋"/>
          <w:spacing w:val="6"/>
          <w:sz w:val="24"/>
          <w:highlight w:val="none"/>
        </w:rPr>
        <w:t>；</w:t>
      </w:r>
    </w:p>
    <w:p w14:paraId="541EE5D5">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（4）技术要求应答表（</w:t>
      </w:r>
      <w:r>
        <w:rPr>
          <w:rFonts w:hint="eastAsia" w:ascii="仿宋" w:hAnsi="仿宋" w:eastAsia="仿宋" w:cs="仿宋"/>
          <w:spacing w:val="6"/>
          <w:sz w:val="24"/>
          <w:szCs w:val="22"/>
          <w:highlight w:val="none"/>
        </w:rPr>
        <w:t>格式6</w:t>
      </w:r>
      <w:r>
        <w:rPr>
          <w:rFonts w:hint="eastAsia" w:ascii="仿宋" w:hAnsi="仿宋" w:eastAsia="仿宋" w:cs="仿宋"/>
          <w:spacing w:val="6"/>
          <w:sz w:val="24"/>
          <w:highlight w:val="none"/>
        </w:rPr>
        <w:t>）；</w:t>
      </w:r>
    </w:p>
    <w:p w14:paraId="58DF7058">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（5）产品彩页资料；</w:t>
      </w:r>
    </w:p>
    <w:p w14:paraId="1BBED9E1">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（6）产品工作环境条件；</w:t>
      </w:r>
    </w:p>
    <w:p w14:paraId="61F75AA6">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（7）产品验收标准和验收方法；</w:t>
      </w:r>
    </w:p>
    <w:p w14:paraId="1E7BA39C">
      <w:pPr>
        <w:snapToGrid w:val="0"/>
        <w:spacing w:line="360" w:lineRule="auto"/>
        <w:ind w:firstLine="504" w:firstLineChars="200"/>
        <w:rPr>
          <w:rFonts w:hint="eastAsia" w:ascii="仿宋" w:hAnsi="仿宋" w:eastAsia="仿宋" w:cs="仿宋"/>
          <w:color w:val="FF0000"/>
          <w:spacing w:val="6"/>
          <w:sz w:val="24"/>
          <w:highlight w:val="none"/>
        </w:rPr>
      </w:pPr>
      <w:r>
        <w:rPr>
          <w:rFonts w:hint="eastAsia" w:ascii="仿宋" w:hAnsi="仿宋" w:eastAsia="仿宋" w:cs="仿宋"/>
          <w:spacing w:val="6"/>
          <w:sz w:val="24"/>
          <w:highlight w:val="none"/>
        </w:rPr>
        <w:t>（8）产品验收清单（注明各部件的品名、数量、价格、规格型号和原产地或生产厂家）；</w:t>
      </w:r>
    </w:p>
    <w:p w14:paraId="4E6096B7">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（9）投标人认为需要提供的文件和资料。</w:t>
      </w:r>
    </w:p>
    <w:p w14:paraId="26D476F3">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（三）商务部分。投标人按照招标文件要求提供的有关文件及优惠承诺。包括以下内容： （1）投标人承诺给予招标采购单位的各种优惠条件（优惠条件事项不能包括采购项目 本身所包括涉及的采购事项。投标人不能以“赠送、赠予”等任何名义提供服务以规避招标文件的约束。否则，投标人提供的投标文件将作为无效投标处理，即使中标也将取消中标资 格；如不涉及优惠条件，未提供承诺则不影响投标文件有效性）；</w:t>
      </w:r>
    </w:p>
    <w:p w14:paraId="2F988DE3">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 （2）投标函原件（格式详见第六章）； </w:t>
      </w:r>
    </w:p>
    <w:p w14:paraId="0CB2B1F3">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（3）投标人基本情况表（</w:t>
      </w:r>
      <w:r>
        <w:rPr>
          <w:rFonts w:hint="eastAsia" w:ascii="仿宋" w:hAnsi="仿宋" w:eastAsia="仿宋" w:cs="仿宋"/>
          <w:spacing w:val="6"/>
          <w:sz w:val="24"/>
          <w:szCs w:val="22"/>
          <w:highlight w:val="none"/>
        </w:rPr>
        <w:t>格式2</w:t>
      </w:r>
      <w:r>
        <w:rPr>
          <w:rFonts w:hint="eastAsia" w:ascii="仿宋" w:hAnsi="仿宋" w:eastAsia="仿宋" w:cs="仿宋"/>
          <w:spacing w:val="6"/>
          <w:sz w:val="24"/>
          <w:highlight w:val="none"/>
        </w:rPr>
        <w:t xml:space="preserve">）； </w:t>
      </w:r>
    </w:p>
    <w:p w14:paraId="3ED28AF0">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（4）投标人类似项目业绩一览表（格式自拟）及证明投标人业绩和荣誉的有关材料复印件； </w:t>
      </w:r>
    </w:p>
    <w:p w14:paraId="5EC69F29">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（5）商务应答表（</w:t>
      </w:r>
      <w:r>
        <w:rPr>
          <w:rFonts w:hint="eastAsia" w:ascii="仿宋" w:hAnsi="仿宋" w:eastAsia="仿宋" w:cs="仿宋"/>
          <w:spacing w:val="6"/>
          <w:sz w:val="24"/>
          <w:szCs w:val="22"/>
          <w:highlight w:val="none"/>
        </w:rPr>
        <w:t>格式7</w:t>
      </w:r>
      <w:r>
        <w:rPr>
          <w:rFonts w:hint="eastAsia" w:ascii="仿宋" w:hAnsi="仿宋" w:eastAsia="仿宋" w:cs="仿宋"/>
          <w:spacing w:val="6"/>
          <w:sz w:val="24"/>
          <w:highlight w:val="none"/>
        </w:rPr>
        <w:t xml:space="preserve">）； </w:t>
      </w:r>
    </w:p>
    <w:p w14:paraId="6FC80987">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（6）其他投标人认为需要提供的文件和资料。 </w:t>
      </w:r>
    </w:p>
    <w:p w14:paraId="2D095F4C">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（四）售后服务。投标人按照招标文件中售后服务要求作出的积极响应和承诺。包括以下内容（如涉及）： </w:t>
      </w:r>
    </w:p>
    <w:p w14:paraId="12122ADC">
      <w:pPr>
        <w:snapToGrid w:val="0"/>
        <w:spacing w:line="360" w:lineRule="auto"/>
        <w:ind w:left="775" w:leftChars="228"/>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（1）产品制造厂家或投标人设立的售后服务机构网点清单、服务电话和维修人员名单； </w:t>
      </w:r>
    </w:p>
    <w:p w14:paraId="313D4175">
      <w:pPr>
        <w:snapToGrid w:val="0"/>
        <w:spacing w:line="360" w:lineRule="auto"/>
        <w:ind w:firstLine="504" w:firstLineChars="200"/>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（2）说明投标产品的保修时间、保修期内的保修内容与范围、维修响应时间等。分别提供产品制造厂家和投标人的服务承诺和保障措施； </w:t>
      </w:r>
    </w:p>
    <w:p w14:paraId="393E1EEB">
      <w:pPr>
        <w:snapToGrid w:val="0"/>
        <w:spacing w:line="360" w:lineRule="auto"/>
        <w:ind w:left="387" w:leftChars="114"/>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（3）培训措施：说明培训内容及培训的时间、地点、目标、培训人数、收费标准和办法； </w:t>
      </w:r>
    </w:p>
    <w:p w14:paraId="487C50A0">
      <w:pPr>
        <w:snapToGrid w:val="0"/>
        <w:spacing w:line="360" w:lineRule="auto"/>
        <w:ind w:left="387" w:leftChars="114"/>
        <w:rPr>
          <w:rFonts w:hint="eastAsia" w:ascii="仿宋" w:hAnsi="仿宋" w:eastAsia="仿宋" w:cs="仿宋"/>
          <w:spacing w:val="6"/>
          <w:sz w:val="24"/>
          <w:highlight w:val="none"/>
        </w:rPr>
      </w:pPr>
      <w:r>
        <w:rPr>
          <w:rFonts w:hint="eastAsia" w:ascii="仿宋" w:hAnsi="仿宋" w:eastAsia="仿宋" w:cs="仿宋"/>
          <w:spacing w:val="6"/>
          <w:sz w:val="24"/>
          <w:highlight w:val="none"/>
        </w:rPr>
        <w:t xml:space="preserve">（4）其他有利于用户的服务承诺。 注：投标人承诺的保修时间、保修内容与范围等需要投标产品制造厂家提供合法渠道证明文件的，投标人必须保证其承诺的保修时间、保修内容与范围等得到了制造厂家授权，如其承诺的保修时间、保修内容与范围等与制造厂家授权不一致的，以提供虚假材料谋取中标处理。 </w:t>
      </w:r>
    </w:p>
    <w:p w14:paraId="68CEA11E">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14.投标文件的语言</w:t>
      </w:r>
      <w:bookmarkEnd w:id="58"/>
      <w:bookmarkEnd w:id="59"/>
      <w:bookmarkEnd w:id="60"/>
    </w:p>
    <w:p w14:paraId="17EF7CC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14.1 投标人提交的投标文件以及投标人与采购人、采购代理机构就有关报价的所有来往书面文件均须使用中文。投标文件中如附有外文资料，必须逐一对应翻译成中文并加盖投标人公章后附在相关外文资料后面，否则，投标人的投标文件将作为无效处理。（说明：投标人的法定代表人为外籍人士的，法定代表人的签字和护照除外。）</w:t>
      </w:r>
    </w:p>
    <w:p w14:paraId="4213AB3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14.2 翻译的中文资料与外文资料如果出现差异和矛盾，以中文为准。但不能故意错误翻译，否则，投标人的投标文件将作为无效处理。</w:t>
      </w:r>
    </w:p>
    <w:p w14:paraId="1DB11F97">
      <w:pPr>
        <w:spacing w:line="360" w:lineRule="auto"/>
        <w:ind w:firstLine="480" w:firstLineChars="200"/>
        <w:rPr>
          <w:rFonts w:hint="eastAsia" w:ascii="仿宋" w:hAnsi="仿宋" w:eastAsia="仿宋" w:cs="仿宋"/>
          <w:b/>
          <w:bCs/>
          <w:sz w:val="24"/>
          <w:szCs w:val="24"/>
          <w:highlight w:val="none"/>
        </w:rPr>
      </w:pPr>
      <w:bookmarkStart w:id="63" w:name="_Toc217446044"/>
      <w:bookmarkStart w:id="64" w:name="_Toc183682353"/>
      <w:bookmarkStart w:id="65" w:name="_Toc183582216"/>
      <w:r>
        <w:rPr>
          <w:rFonts w:hint="eastAsia" w:ascii="仿宋" w:hAnsi="仿宋" w:eastAsia="仿宋" w:cs="仿宋"/>
          <w:b/>
          <w:bCs/>
          <w:sz w:val="24"/>
          <w:szCs w:val="24"/>
          <w:highlight w:val="none"/>
        </w:rPr>
        <w:t>15．计量单位</w:t>
      </w:r>
      <w:bookmarkEnd w:id="63"/>
      <w:bookmarkEnd w:id="64"/>
      <w:bookmarkEnd w:id="65"/>
    </w:p>
    <w:p w14:paraId="60384F10">
      <w:pPr>
        <w:spacing w:line="360" w:lineRule="auto"/>
        <w:ind w:firstLine="470" w:firstLineChars="196"/>
        <w:rPr>
          <w:rFonts w:hint="eastAsia" w:ascii="仿宋" w:hAnsi="仿宋" w:eastAsia="仿宋" w:cs="仿宋"/>
          <w:sz w:val="24"/>
          <w:szCs w:val="24"/>
          <w:highlight w:val="none"/>
        </w:rPr>
      </w:pPr>
      <w:r>
        <w:rPr>
          <w:rFonts w:hint="eastAsia" w:ascii="仿宋" w:hAnsi="仿宋" w:eastAsia="仿宋" w:cs="仿宋"/>
          <w:sz w:val="24"/>
          <w:szCs w:val="24"/>
          <w:highlight w:val="none"/>
        </w:rPr>
        <w:t>除招标文件中另有规定外，本次招标项目所有合同项下的报价均采用国家法定的计量单位。</w:t>
      </w:r>
    </w:p>
    <w:p w14:paraId="189561F7">
      <w:pPr>
        <w:spacing w:line="360" w:lineRule="auto"/>
        <w:ind w:firstLine="468" w:firstLineChars="195"/>
        <w:rPr>
          <w:rFonts w:hint="eastAsia" w:ascii="仿宋" w:hAnsi="仿宋" w:eastAsia="仿宋" w:cs="仿宋"/>
          <w:b/>
          <w:bCs/>
          <w:sz w:val="24"/>
          <w:szCs w:val="24"/>
          <w:highlight w:val="none"/>
        </w:rPr>
      </w:pPr>
      <w:bookmarkStart w:id="66" w:name="_Toc217446045"/>
      <w:r>
        <w:rPr>
          <w:rFonts w:hint="eastAsia" w:ascii="仿宋" w:hAnsi="仿宋" w:eastAsia="仿宋" w:cs="仿宋"/>
          <w:b/>
          <w:bCs/>
          <w:sz w:val="24"/>
          <w:szCs w:val="24"/>
          <w:highlight w:val="none"/>
        </w:rPr>
        <w:t xml:space="preserve">16. </w:t>
      </w:r>
      <w:r>
        <w:rPr>
          <w:rFonts w:hint="eastAsia" w:ascii="仿宋" w:hAnsi="仿宋" w:eastAsia="仿宋" w:cs="仿宋"/>
          <w:b/>
          <w:sz w:val="24"/>
          <w:szCs w:val="24"/>
          <w:highlight w:val="none"/>
        </w:rPr>
        <w:t>报价</w:t>
      </w:r>
      <w:r>
        <w:rPr>
          <w:rFonts w:hint="eastAsia" w:ascii="仿宋" w:hAnsi="仿宋" w:eastAsia="仿宋" w:cs="仿宋"/>
          <w:b/>
          <w:bCs/>
          <w:sz w:val="24"/>
          <w:szCs w:val="24"/>
          <w:highlight w:val="none"/>
        </w:rPr>
        <w:t>货币</w:t>
      </w:r>
    </w:p>
    <w:p w14:paraId="5916708F">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本次项目的</w:t>
      </w:r>
      <w:r>
        <w:rPr>
          <w:rFonts w:hint="eastAsia" w:ascii="仿宋" w:hAnsi="仿宋" w:eastAsia="仿宋" w:cs="仿宋"/>
          <w:sz w:val="24"/>
          <w:szCs w:val="24"/>
          <w:highlight w:val="none"/>
        </w:rPr>
        <w:t>报价货币为</w:t>
      </w:r>
      <w:r>
        <w:rPr>
          <w:rFonts w:hint="eastAsia" w:ascii="仿宋" w:hAnsi="仿宋" w:eastAsia="仿宋" w:cs="仿宋"/>
          <w:bCs/>
          <w:sz w:val="24"/>
          <w:szCs w:val="24"/>
          <w:highlight w:val="none"/>
        </w:rPr>
        <w:t>人民币，报价以招标文件规定为准。</w:t>
      </w:r>
    </w:p>
    <w:bookmarkEnd w:id="66"/>
    <w:p w14:paraId="30EE610B">
      <w:pPr>
        <w:spacing w:line="360" w:lineRule="auto"/>
        <w:ind w:left="3" w:leftChars="1"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17.投标文件格式</w:t>
      </w:r>
    </w:p>
    <w:p w14:paraId="50DE3DC4">
      <w:pPr>
        <w:spacing w:line="360" w:lineRule="auto"/>
        <w:ind w:left="3" w:leftChars="1"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17.1 投标人应尽量按照招标文件第六章中提供的“投标文件格式”填写相关内容。因投标文件格式形式不规范或者内容不齐全导致为无效文件的风险由投标人自行承担。</w:t>
      </w:r>
    </w:p>
    <w:p w14:paraId="2B790C85">
      <w:pPr>
        <w:spacing w:line="360" w:lineRule="auto"/>
        <w:ind w:left="3" w:leftChars="1"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17.2 对于没有格式要求的招标文件由投标人自行编写。</w:t>
      </w:r>
    </w:p>
    <w:p w14:paraId="1F38F694">
      <w:pPr>
        <w:spacing w:line="360" w:lineRule="auto"/>
        <w:ind w:firstLine="470" w:firstLineChars="196"/>
        <w:rPr>
          <w:rFonts w:hint="eastAsia" w:ascii="仿宋" w:hAnsi="仿宋" w:eastAsia="仿宋" w:cs="仿宋"/>
          <w:b/>
          <w:sz w:val="24"/>
          <w:szCs w:val="24"/>
          <w:highlight w:val="none"/>
        </w:rPr>
      </w:pPr>
      <w:bookmarkStart w:id="67" w:name="_Toc217446051"/>
      <w:bookmarkStart w:id="68" w:name="_Toc183682361"/>
      <w:bookmarkStart w:id="69" w:name="_Toc183582224"/>
      <w:r>
        <w:rPr>
          <w:rFonts w:hint="eastAsia" w:ascii="仿宋" w:hAnsi="仿宋" w:eastAsia="仿宋" w:cs="仿宋"/>
          <w:b/>
          <w:sz w:val="24"/>
          <w:szCs w:val="24"/>
          <w:highlight w:val="none"/>
        </w:rPr>
        <w:t>18.投标文件的编制和签署</w:t>
      </w:r>
    </w:p>
    <w:p w14:paraId="22430F0B">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sz w:val="24"/>
          <w:szCs w:val="24"/>
          <w:highlight w:val="none"/>
        </w:rPr>
        <w:t>18.1 资格性投标文件正本1份副本4份</w:t>
      </w:r>
      <w:r>
        <w:rPr>
          <w:rFonts w:hint="eastAsia" w:ascii="仿宋" w:hAnsi="仿宋" w:eastAsia="仿宋" w:cs="仿宋"/>
          <w:bCs/>
          <w:sz w:val="24"/>
          <w:szCs w:val="24"/>
          <w:highlight w:val="none"/>
        </w:rPr>
        <w:t>，并在其封面上清楚地标明资格性投标文件、招标项目名称、招标项目编号、包件号及名称（若有）、投标人名称以及“正本”或“副本”字样。若正本和副本有不一致的内容，以正本书面投标文件为准。</w:t>
      </w:r>
    </w:p>
    <w:p w14:paraId="13DA6488">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18.2 其他投标文件正本1份副本4份，并在其封面上清楚地标明其他投标文件、招标项目名称、招标项目编号、包件号及名称（若有）、投标人名称以及“正本”或“副本”字。若正本和副本有不一致的内容，以正本书面投标文件为准。</w:t>
      </w:r>
    </w:p>
    <w:p w14:paraId="2E2958AC">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18.3投标文件电子版1份，投标文件电子版须包含资格性投标文件、其他投标文件，制作为PDF格式文件，并拷贝到空白U盘中，U盘表面应标注投标人名称；投标人递交的电子版与纸质版正本不得出现实质性不一致（如内容不齐全、模糊不清等）的任何情形。</w:t>
      </w:r>
    </w:p>
    <w:bookmarkEnd w:id="67"/>
    <w:bookmarkEnd w:id="68"/>
    <w:bookmarkEnd w:id="69"/>
    <w:p w14:paraId="3BF66CBA">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18.4 投标文件正本和副本均需在规定签章处签字和盖章。投标文件副本可采用正本的复印件，电子文档采用U盘制作。</w:t>
      </w:r>
    </w:p>
    <w:p w14:paraId="2591C5B4">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18.5投标文件的打印和书写应清楚工整，任何行间插字、涂改或增删，必须由投标人的法定代表人或其授权代表签字并盖投标人公章。</w:t>
      </w:r>
    </w:p>
    <w:p w14:paraId="143D195B">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18.6投标文件应由投标人法定代表人/主要负责人/本人或其授权代表在投标文件要求的地方签字（或加盖私人印章），要求加盖公章的地方加盖单位公章，不得使用专用章（如经济合同章、投标专用章等）或下属单位印章代替。</w:t>
      </w:r>
    </w:p>
    <w:p w14:paraId="3D2D20C3">
      <w:pPr>
        <w:spacing w:line="360" w:lineRule="auto"/>
        <w:ind w:firstLine="468" w:firstLineChars="195"/>
        <w:rPr>
          <w:rFonts w:hint="eastAsia" w:ascii="仿宋" w:hAnsi="仿宋" w:eastAsia="仿宋" w:cs="仿宋"/>
          <w:bCs/>
          <w:sz w:val="24"/>
          <w:szCs w:val="24"/>
          <w:highlight w:val="none"/>
        </w:rPr>
      </w:pPr>
      <w:r>
        <w:rPr>
          <w:rFonts w:hint="eastAsia" w:ascii="仿宋" w:hAnsi="仿宋" w:eastAsia="仿宋" w:cs="仿宋"/>
          <w:bCs/>
          <w:sz w:val="24"/>
          <w:szCs w:val="24"/>
          <w:highlight w:val="none"/>
        </w:rPr>
        <w:t>18.7投标文件正本和副本需要逐页编目编码。</w:t>
      </w:r>
    </w:p>
    <w:p w14:paraId="28621673">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18.8投标文件正本和副本应当采用胶装方式装订成册，不得散装或者合页装订。</w:t>
      </w:r>
    </w:p>
    <w:p w14:paraId="677B4342">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18.9投标文件应根据招标文件的要求制作，签署、盖章。</w:t>
      </w:r>
    </w:p>
    <w:p w14:paraId="5A73A314">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18.10投标文件统一用A4幅面纸印制，除另有规定外。</w:t>
      </w:r>
    </w:p>
    <w:p w14:paraId="2A24BD96">
      <w:pPr>
        <w:tabs>
          <w:tab w:val="left" w:pos="1080"/>
        </w:tabs>
        <w:spacing w:line="360" w:lineRule="auto"/>
        <w:ind w:firstLine="460" w:firstLineChars="192"/>
        <w:rPr>
          <w:rFonts w:hint="eastAsia" w:ascii="仿宋" w:hAnsi="仿宋" w:eastAsia="仿宋" w:cs="仿宋"/>
          <w:b/>
          <w:sz w:val="24"/>
          <w:szCs w:val="24"/>
          <w:highlight w:val="none"/>
        </w:rPr>
      </w:pPr>
      <w:bookmarkStart w:id="70" w:name="_Toc183682363"/>
      <w:bookmarkStart w:id="71" w:name="_Toc183582226"/>
      <w:bookmarkStart w:id="72" w:name="_Toc217446053"/>
      <w:bookmarkStart w:id="73" w:name="_Toc77400781"/>
      <w:bookmarkStart w:id="74" w:name="_Toc89075877"/>
      <w:r>
        <w:rPr>
          <w:rFonts w:hint="eastAsia" w:ascii="仿宋" w:hAnsi="仿宋" w:eastAsia="仿宋" w:cs="仿宋"/>
          <w:b/>
          <w:sz w:val="24"/>
          <w:szCs w:val="24"/>
          <w:highlight w:val="none"/>
        </w:rPr>
        <w:t>19.投标文件的密封和标注（不属于本项目评标小组评标范畴，由采购人、采购代理机构在接收投标文件时及时处理）。</w:t>
      </w:r>
    </w:p>
    <w:p w14:paraId="4A44C3E4">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19.1 </w:t>
      </w:r>
      <w:r>
        <w:rPr>
          <w:rFonts w:hint="eastAsia" w:ascii="仿宋" w:hAnsi="仿宋" w:eastAsia="仿宋" w:cs="仿宋"/>
          <w:b/>
          <w:bCs/>
          <w:sz w:val="24"/>
          <w:szCs w:val="24"/>
          <w:highlight w:val="none"/>
        </w:rPr>
        <w:t>除开标一览表必须单独密封包装外，投标文件可以单独密封包装，也可以所有投标文件密封包装在一个密封袋内。</w:t>
      </w:r>
    </w:p>
    <w:p w14:paraId="5D7FD7EF">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19.2 投标文件密封袋的最外层应清楚地标明招标项目名称、招标项目编号、包件号及名称（若有）、投标人名称</w:t>
      </w:r>
      <w:r>
        <w:rPr>
          <w:rFonts w:hint="eastAsia" w:ascii="仿宋" w:hAnsi="仿宋" w:eastAsia="仿宋" w:cs="仿宋"/>
          <w:bCs/>
          <w:sz w:val="24"/>
          <w:szCs w:val="24"/>
          <w:highlight w:val="none"/>
        </w:rPr>
        <w:t>，（详见第六章格式10和格式11）；每一密封件上应注明“于   年  月  日  时  分之前不准启封”字样</w:t>
      </w:r>
      <w:r>
        <w:rPr>
          <w:rFonts w:hint="eastAsia" w:ascii="仿宋" w:hAnsi="仿宋" w:eastAsia="仿宋" w:cs="仿宋"/>
          <w:sz w:val="24"/>
          <w:szCs w:val="24"/>
          <w:highlight w:val="none"/>
        </w:rPr>
        <w:t>。</w:t>
      </w:r>
    </w:p>
    <w:p w14:paraId="4E269767">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19.3 所有外层密封袋的封口处应粘贴牢固</w:t>
      </w:r>
      <w:r>
        <w:rPr>
          <w:rFonts w:hint="eastAsia" w:ascii="仿宋" w:hAnsi="仿宋" w:eastAsia="仿宋" w:cs="仿宋"/>
          <w:sz w:val="24"/>
          <w:highlight w:val="none"/>
        </w:rPr>
        <w:t>，</w:t>
      </w:r>
      <w:r>
        <w:rPr>
          <w:rFonts w:hint="eastAsia" w:ascii="仿宋" w:hAnsi="仿宋" w:eastAsia="仿宋" w:cs="仿宋"/>
          <w:b/>
          <w:bCs/>
          <w:sz w:val="24"/>
          <w:highlight w:val="none"/>
        </w:rPr>
        <w:t>并在封口处加盖单位公章</w:t>
      </w:r>
      <w:r>
        <w:rPr>
          <w:rFonts w:hint="eastAsia" w:ascii="仿宋" w:hAnsi="仿宋" w:eastAsia="仿宋" w:cs="仿宋"/>
          <w:sz w:val="24"/>
          <w:szCs w:val="24"/>
          <w:highlight w:val="none"/>
        </w:rPr>
        <w:t>。</w:t>
      </w:r>
    </w:p>
    <w:p w14:paraId="32EFD912">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19.4 未按以上要求进行密封和标注的投标文件，采购人、采购代理机构将拒收或者在时间允许的范围内，要求修改完善后接收，若在递交投标文件截止时间前未完善并递交，将作为未按规定时间递交投标文件处理；递交后，由于密封不牢固造成提前开封的投标文件，采购代理机构将予以拒绝，并退回投标人。</w:t>
      </w:r>
    </w:p>
    <w:p w14:paraId="7718C60F">
      <w:pPr>
        <w:tabs>
          <w:tab w:val="left" w:pos="1080"/>
        </w:tabs>
        <w:spacing w:line="360" w:lineRule="auto"/>
        <w:ind w:firstLine="460" w:firstLineChars="192"/>
        <w:rPr>
          <w:rFonts w:hint="eastAsia" w:ascii="仿宋" w:hAnsi="仿宋" w:eastAsia="仿宋" w:cs="仿宋"/>
          <w:b/>
          <w:sz w:val="24"/>
          <w:szCs w:val="24"/>
          <w:highlight w:val="none"/>
        </w:rPr>
      </w:pPr>
      <w:r>
        <w:rPr>
          <w:rFonts w:hint="eastAsia" w:ascii="仿宋" w:hAnsi="仿宋" w:eastAsia="仿宋" w:cs="仿宋"/>
          <w:b/>
          <w:sz w:val="24"/>
          <w:szCs w:val="24"/>
          <w:highlight w:val="none"/>
        </w:rPr>
        <w:t>20.投标文件的递交</w:t>
      </w:r>
    </w:p>
    <w:p w14:paraId="517282A4">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20.1 资格性投标文件、其他投标文件、开标一览表和投标</w:t>
      </w:r>
      <w:r>
        <w:rPr>
          <w:rFonts w:hint="eastAsia" w:ascii="仿宋" w:hAnsi="仿宋" w:eastAsia="仿宋" w:cs="仿宋"/>
          <w:sz w:val="24"/>
          <w:szCs w:val="24"/>
          <w:highlight w:val="none"/>
          <w:lang w:val="zh-CN"/>
        </w:rPr>
        <w:t>文件电子版（</w:t>
      </w:r>
      <w:r>
        <w:rPr>
          <w:rFonts w:hint="eastAsia" w:ascii="仿宋" w:hAnsi="仿宋" w:eastAsia="仿宋" w:cs="仿宋"/>
          <w:sz w:val="24"/>
          <w:szCs w:val="24"/>
          <w:highlight w:val="none"/>
        </w:rPr>
        <w:t>U盘）应于递交投标文件截止时间前送达指定地点，采购代理机构拒绝接收截止时间后送达的投标文件。递交投标文件时，报名投标人名称和招标文件的文号、分包号应当与投标人名称和投标文件的文号、分包号一致。但是，投标文件实质内容报名投标人名称和招标文件的文号、分包号一致，只是封面文字错误的，可以在评标过程中当面予以澄清，以有效的澄清材料作为认定投标文件是否有效的依据。</w:t>
      </w:r>
    </w:p>
    <w:p w14:paraId="591B27BA">
      <w:pPr>
        <w:tabs>
          <w:tab w:val="left" w:pos="1080"/>
        </w:tabs>
        <w:spacing w:line="360" w:lineRule="auto"/>
        <w:ind w:firstLine="460" w:firstLineChars="192"/>
        <w:rPr>
          <w:rFonts w:hint="eastAsia" w:ascii="仿宋" w:hAnsi="仿宋" w:eastAsia="仿宋" w:cs="仿宋"/>
          <w:sz w:val="24"/>
          <w:szCs w:val="24"/>
          <w:highlight w:val="none"/>
        </w:rPr>
      </w:pPr>
      <w:r>
        <w:rPr>
          <w:rFonts w:hint="eastAsia" w:ascii="仿宋" w:hAnsi="仿宋" w:eastAsia="仿宋" w:cs="仿宋"/>
          <w:sz w:val="24"/>
          <w:szCs w:val="24"/>
          <w:highlight w:val="none"/>
        </w:rPr>
        <w:t>20.2 本次招标不接收邮寄的投标文件。</w:t>
      </w:r>
    </w:p>
    <w:bookmarkEnd w:id="70"/>
    <w:bookmarkEnd w:id="71"/>
    <w:bookmarkEnd w:id="72"/>
    <w:bookmarkEnd w:id="73"/>
    <w:bookmarkEnd w:id="74"/>
    <w:p w14:paraId="1EF80E2F">
      <w:pPr>
        <w:tabs>
          <w:tab w:val="left" w:pos="1080"/>
        </w:tabs>
        <w:spacing w:line="360" w:lineRule="auto"/>
        <w:ind w:firstLine="460" w:firstLineChars="192"/>
        <w:rPr>
          <w:rFonts w:hint="eastAsia" w:ascii="仿宋" w:hAnsi="仿宋" w:eastAsia="仿宋" w:cs="仿宋"/>
          <w:b/>
          <w:sz w:val="24"/>
          <w:szCs w:val="24"/>
          <w:highlight w:val="none"/>
        </w:rPr>
      </w:pPr>
      <w:bookmarkStart w:id="75" w:name="_Toc217446055"/>
      <w:bookmarkStart w:id="76" w:name="_Toc183582228"/>
      <w:bookmarkStart w:id="77" w:name="_Toc183682365"/>
      <w:r>
        <w:rPr>
          <w:rFonts w:hint="eastAsia" w:ascii="仿宋" w:hAnsi="仿宋" w:eastAsia="仿宋" w:cs="仿宋"/>
          <w:b/>
          <w:sz w:val="24"/>
          <w:szCs w:val="24"/>
          <w:highlight w:val="none"/>
        </w:rPr>
        <w:t>21.投标文件的修改和撤回（补充、修改投标文件的密封和标注按照本章“19.投标文件的密封和标注”规定处理）</w:t>
      </w:r>
    </w:p>
    <w:p w14:paraId="4A3128CC">
      <w:pPr>
        <w:pStyle w:val="7"/>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21.1投标人在提交投标文件后可对其投标文件进行修改或撤回，但该修改或撤回的书面通知须在递交截止时间之前送达采购代理机构，补充、修改的内容作为投标文件的组成部分。且该通知需经正式授权的投标人代表签字方为有效。 投标人在提交投标文件截止时间前，可以对所提交的投标文件进行补充、修改或者撤回，补充、修改的内容与投标文件不一致的，以补充、修改的内容为准。</w:t>
      </w:r>
    </w:p>
    <w:p w14:paraId="327EF635">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21.2投标人对投标文件修改的书面材料或撤回的通知应该按规定进行编写、密封、标注和递送，并注明“修改投标文件”字样。</w:t>
      </w:r>
    </w:p>
    <w:p w14:paraId="1801621D">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21.3投标人不得在递交截止时间起至投标文件有效期期满前撤销其投标文件。否则其投标保证金将按“投标人须知第二部分7”的相关规定被没收。</w:t>
      </w:r>
    </w:p>
    <w:p w14:paraId="6D377123">
      <w:pPr>
        <w:adjustRightInd w:val="0"/>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21.4在递交投标文件截止时间之后，投标人不得对其投标文件进行任何修改，已经递交的投标文件采购人、采购代理机构可以不予退还。</w:t>
      </w:r>
    </w:p>
    <w:p w14:paraId="6C2898FB">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21.5 投标文件中报价如果出现下列不一致的，可按以下原则进行修改：</w:t>
      </w:r>
    </w:p>
    <w:p w14:paraId="46CA8CDF">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（一）大写金额和小写金额不一致的，以大写金额为准，但大写金额文字存在错误的，应当先对大写金额的文字错误进行澄清、说明或者更正，再行修正。</w:t>
      </w:r>
    </w:p>
    <w:p w14:paraId="73AF9073">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（二）总价金额与按单价汇总金额不一致的，以单价金额计算结果为准，但单价或者单价汇总金额存在数字或者文字错误的，应当先对数字或者文字错误进行澄清、说明或者更正，再行修正。</w:t>
      </w:r>
    </w:p>
    <w:p w14:paraId="04CBE884">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（三）单价金额小数点或者百分比有明显错位的，以总价为准，修正单价。</w:t>
      </w:r>
    </w:p>
    <w:p w14:paraId="1B3DA6E5">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同时出现两种以上不一致的，按照上述规定的顺序修正。修正后的报价经投标人确认后产生约束力，投标人不确认的，其投标文件作为无效处理。投标人确认采取书面且加盖单位公章或者投标人授权代表签字的方式。</w:t>
      </w:r>
    </w:p>
    <w:p w14:paraId="22689CD9">
      <w:pPr>
        <w:spacing w:line="36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21.6投标人对其提交的投标文件的真实性、合法性承担法律责任。</w:t>
      </w:r>
      <w:bookmarkEnd w:id="75"/>
      <w:bookmarkEnd w:id="76"/>
      <w:bookmarkEnd w:id="77"/>
    </w:p>
    <w:p w14:paraId="3A95F7F8">
      <w:pPr>
        <w:pStyle w:val="5"/>
        <w:keepNext w:val="0"/>
        <w:keepLines w:val="0"/>
        <w:spacing w:line="360" w:lineRule="auto"/>
        <w:jc w:val="center"/>
        <w:rPr>
          <w:rFonts w:hint="eastAsia" w:ascii="仿宋" w:hAnsi="仿宋" w:eastAsia="仿宋" w:cs="仿宋"/>
          <w:sz w:val="28"/>
          <w:szCs w:val="28"/>
          <w:highlight w:val="none"/>
        </w:rPr>
      </w:pPr>
      <w:bookmarkStart w:id="78" w:name="_Toc17634"/>
      <w:bookmarkStart w:id="79" w:name="_Toc89075878"/>
      <w:bookmarkStart w:id="80" w:name="_Toc217446056"/>
      <w:bookmarkStart w:id="81" w:name="_Toc183682368"/>
      <w:bookmarkStart w:id="82" w:name="_Toc183582231"/>
      <w:bookmarkStart w:id="83" w:name="_Toc77400782"/>
      <w:r>
        <w:rPr>
          <w:rFonts w:hint="eastAsia" w:ascii="仿宋" w:hAnsi="仿宋" w:eastAsia="仿宋" w:cs="仿宋"/>
          <w:sz w:val="28"/>
          <w:szCs w:val="28"/>
          <w:highlight w:val="none"/>
        </w:rPr>
        <w:t>五、评标</w:t>
      </w:r>
      <w:bookmarkEnd w:id="78"/>
    </w:p>
    <w:p w14:paraId="2357D4FD">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22.评标小组的组建及其评标工作按照本文件第七章的规定进行。</w:t>
      </w:r>
    </w:p>
    <w:p w14:paraId="7C14E5E7">
      <w:pPr>
        <w:pStyle w:val="5"/>
        <w:keepNext w:val="0"/>
        <w:keepLines w:val="0"/>
        <w:spacing w:line="360" w:lineRule="auto"/>
        <w:jc w:val="center"/>
        <w:rPr>
          <w:rFonts w:hint="eastAsia" w:ascii="仿宋" w:hAnsi="仿宋" w:eastAsia="仿宋" w:cs="仿宋"/>
          <w:sz w:val="28"/>
          <w:szCs w:val="28"/>
          <w:highlight w:val="none"/>
        </w:rPr>
      </w:pPr>
      <w:bookmarkStart w:id="84" w:name="_Toc4130"/>
      <w:r>
        <w:rPr>
          <w:rFonts w:hint="eastAsia" w:ascii="仿宋" w:hAnsi="仿宋" w:eastAsia="仿宋" w:cs="仿宋"/>
          <w:sz w:val="28"/>
          <w:szCs w:val="28"/>
          <w:highlight w:val="none"/>
        </w:rPr>
        <w:t>六、定 标</w:t>
      </w:r>
      <w:bookmarkEnd w:id="84"/>
    </w:p>
    <w:p w14:paraId="1F2D3748">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23.定标原则</w:t>
      </w:r>
    </w:p>
    <w:p w14:paraId="1EF34C9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采购人将按评标委员会推荐的中标候选人顺序确定中标人。</w:t>
      </w:r>
    </w:p>
    <w:p w14:paraId="527A521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23.1采购代理机构自评标结束后2个工作日内将评标报告及有关资料送交采购人。</w:t>
      </w:r>
    </w:p>
    <w:p w14:paraId="1829712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23.2 采购人收到评标报告及有关资料后，将在5个工作日内按照评标报告中推荐的中标候选人顺序确定中标人。采购人逾期未确定中标人且不提出异议的，视为确定评标报告提出的排序第一的投标人为中标人。</w:t>
      </w:r>
    </w:p>
    <w:p w14:paraId="521A663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23.3采购人确定中标人过程中，发现中标人有下列情形之一的，应当不予确定其为中标人：</w:t>
      </w:r>
    </w:p>
    <w:p w14:paraId="49CBCFB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（1）发现中标候选人存在禁止参加本项目采购活动的违法行为的；</w:t>
      </w:r>
    </w:p>
    <w:p w14:paraId="07E270E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（2）中标候选人因不可抗力，不能继续参加采购活动；</w:t>
      </w:r>
    </w:p>
    <w:p w14:paraId="5D22D2E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（3）中标候选人无偿赠与或者低于成本价竞争；</w:t>
      </w:r>
    </w:p>
    <w:p w14:paraId="26BE898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（4）中标候选人提供虚假材料；</w:t>
      </w:r>
    </w:p>
    <w:p w14:paraId="370F0A5D">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kern w:val="2"/>
          <w:sz w:val="24"/>
          <w:szCs w:val="24"/>
          <w:highlight w:val="none"/>
        </w:rPr>
        <w:t xml:space="preserve"> （5）</w:t>
      </w:r>
      <w:r>
        <w:rPr>
          <w:rFonts w:hint="eastAsia" w:ascii="仿宋" w:hAnsi="仿宋" w:eastAsia="仿宋" w:cs="仿宋"/>
          <w:sz w:val="24"/>
          <w:szCs w:val="24"/>
          <w:highlight w:val="none"/>
        </w:rPr>
        <w:t>中标候选人</w:t>
      </w:r>
      <w:r>
        <w:rPr>
          <w:rFonts w:hint="eastAsia" w:ascii="仿宋" w:hAnsi="仿宋" w:eastAsia="仿宋" w:cs="仿宋"/>
          <w:kern w:val="2"/>
          <w:sz w:val="24"/>
          <w:szCs w:val="24"/>
          <w:highlight w:val="none"/>
        </w:rPr>
        <w:t>书面自愿放弃中标，且无其他非法目的的；</w:t>
      </w:r>
    </w:p>
    <w:p w14:paraId="50AF398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（6）中标候选人恶意串通；</w:t>
      </w:r>
    </w:p>
    <w:p w14:paraId="2ECFC551">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（7）其他不应中标候选人的情形。</w:t>
      </w:r>
    </w:p>
    <w:p w14:paraId="572F826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中标候选人有本条情形之一的，采购人可以确定后一位中标候选人为中标人，依次类推。无法确定中标人的，应当重新组织采购。中标候选人以本款第（5）项放弃中标的，应当不予退还其投标保证金。</w:t>
      </w:r>
    </w:p>
    <w:p w14:paraId="67AFCA83">
      <w:pPr>
        <w:spacing w:line="360" w:lineRule="auto"/>
        <w:rPr>
          <w:rFonts w:hint="eastAsia" w:ascii="仿宋" w:hAnsi="仿宋" w:eastAsia="仿宋" w:cs="仿宋"/>
          <w:kern w:val="2"/>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kern w:val="2"/>
          <w:sz w:val="24"/>
          <w:szCs w:val="24"/>
          <w:highlight w:val="none"/>
        </w:rPr>
        <w:t>23.4 采购代理机构将根据采购人确定的中标人，在</w:t>
      </w:r>
      <w:r>
        <w:rPr>
          <w:rFonts w:hint="eastAsia" w:ascii="仿宋" w:hAnsi="仿宋" w:eastAsia="仿宋" w:cs="仿宋"/>
          <w:sz w:val="24"/>
          <w:highlight w:val="none"/>
        </w:rPr>
        <w:t>中国采购与招标网</w:t>
      </w:r>
      <w:r>
        <w:rPr>
          <w:rFonts w:hint="eastAsia" w:ascii="仿宋" w:hAnsi="仿宋" w:eastAsia="仿宋" w:cs="仿宋"/>
          <w:kern w:val="2"/>
          <w:sz w:val="24"/>
          <w:szCs w:val="24"/>
          <w:highlight w:val="none"/>
        </w:rPr>
        <w:t>上发布中标公告，同时向中标人发出中标通知书。采购人、采购代理机构不解释中标或落标原因，不退回投标文件和其他投标资料。</w:t>
      </w:r>
    </w:p>
    <w:p w14:paraId="7892A35E">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24.中标结果</w:t>
      </w:r>
    </w:p>
    <w:p w14:paraId="281E320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24.1中标人应当及时领取中标通知书。本项目需要交纳履约保证金的，中标人应当及时向采购人交纳。</w:t>
      </w:r>
    </w:p>
    <w:p w14:paraId="77F5D138">
      <w:pPr>
        <w:spacing w:line="360" w:lineRule="auto"/>
        <w:ind w:firstLine="465"/>
        <w:rPr>
          <w:rFonts w:hint="eastAsia" w:ascii="仿宋" w:hAnsi="仿宋" w:eastAsia="仿宋" w:cs="仿宋"/>
          <w:sz w:val="24"/>
          <w:szCs w:val="24"/>
          <w:highlight w:val="none"/>
        </w:rPr>
      </w:pPr>
      <w:r>
        <w:rPr>
          <w:rFonts w:hint="eastAsia" w:ascii="仿宋" w:hAnsi="仿宋" w:eastAsia="仿宋" w:cs="仿宋"/>
          <w:sz w:val="24"/>
          <w:szCs w:val="24"/>
          <w:highlight w:val="none"/>
        </w:rPr>
        <w:t>24.2中标人不能及时领取中标通知书，采购人或者采购代理机应当通过邮寄、快递等方式将项目中标通知书送达中标人。</w:t>
      </w:r>
    </w:p>
    <w:p w14:paraId="1EE09B7C">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25.中标通知书</w:t>
      </w:r>
    </w:p>
    <w:p w14:paraId="0A97A71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25.1中标通知书为签订采购合同的依据之一，是合同的有效组成部分。</w:t>
      </w:r>
    </w:p>
    <w:p w14:paraId="5187313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25.2中标通知书对采购人和中标人均具有法律效力。中标通知书发出后，采购人无正当理由改变中标结果，或者中标人无正当理由放弃中标的，将承担相应的法律责任。</w:t>
      </w:r>
    </w:p>
    <w:p w14:paraId="74D8E50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25.3中标人的投标文件作为无效投标文件处理的，采购人/采购代理机构在取得有权主体的认定以后，有权宣布发出的中标通知书无效，并收回发出的中标通知书，依法重新确定中标人或者重新开展招标活动。</w:t>
      </w:r>
    </w:p>
    <w:p w14:paraId="5FF114F3">
      <w:pPr>
        <w:pStyle w:val="5"/>
        <w:keepNext w:val="0"/>
        <w:keepLines w:val="0"/>
        <w:spacing w:line="360" w:lineRule="auto"/>
        <w:jc w:val="center"/>
        <w:rPr>
          <w:rFonts w:hint="eastAsia" w:ascii="仿宋" w:hAnsi="仿宋" w:eastAsia="仿宋" w:cs="仿宋"/>
          <w:sz w:val="28"/>
          <w:szCs w:val="28"/>
          <w:highlight w:val="none"/>
        </w:rPr>
      </w:pPr>
      <w:bookmarkStart w:id="85" w:name="_Toc4436"/>
      <w:r>
        <w:rPr>
          <w:rFonts w:hint="eastAsia" w:ascii="仿宋" w:hAnsi="仿宋" w:eastAsia="仿宋" w:cs="仿宋"/>
          <w:sz w:val="28"/>
          <w:szCs w:val="28"/>
          <w:highlight w:val="none"/>
        </w:rPr>
        <w:t>七、合同事项</w:t>
      </w:r>
      <w:bookmarkEnd w:id="85"/>
    </w:p>
    <w:p w14:paraId="3C352C13">
      <w:pPr>
        <w:spacing w:line="360" w:lineRule="auto"/>
        <w:ind w:firstLine="470" w:firstLineChars="196"/>
        <w:rPr>
          <w:rFonts w:hint="eastAsia" w:ascii="仿宋" w:hAnsi="仿宋" w:eastAsia="仿宋" w:cs="仿宋"/>
          <w:b/>
          <w:bCs/>
          <w:sz w:val="24"/>
          <w:szCs w:val="24"/>
          <w:highlight w:val="none"/>
        </w:rPr>
      </w:pPr>
      <w:bookmarkStart w:id="86" w:name="_Toc101338364"/>
      <w:bookmarkStart w:id="87" w:name="_Toc430773927"/>
      <w:bookmarkStart w:id="88" w:name="_Toc101174151"/>
      <w:bookmarkStart w:id="89" w:name="_Toc101250646"/>
      <w:bookmarkStart w:id="90" w:name="_Toc209847069"/>
      <w:r>
        <w:rPr>
          <w:rFonts w:hint="eastAsia" w:ascii="仿宋" w:hAnsi="仿宋" w:eastAsia="仿宋" w:cs="仿宋"/>
          <w:b/>
          <w:bCs/>
          <w:sz w:val="24"/>
          <w:szCs w:val="24"/>
          <w:highlight w:val="none"/>
        </w:rPr>
        <w:t>26.签订合同</w:t>
      </w:r>
      <w:bookmarkEnd w:id="86"/>
      <w:bookmarkEnd w:id="87"/>
      <w:bookmarkEnd w:id="88"/>
      <w:bookmarkEnd w:id="89"/>
      <w:bookmarkEnd w:id="90"/>
    </w:p>
    <w:p w14:paraId="646A339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26.1 中标人应在中标通知书发出之日起三十日内与采购人签订采购合同。由于中标人的原因逾期未与采购人签订采购合同的，将视为放弃中标，取消其中标资格并将按相关规定进行处理。</w:t>
      </w:r>
    </w:p>
    <w:p w14:paraId="217AF95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26.2 招标文件、中标人的投标文件及双方确认的澄清文件等，均为有法律约束力的合同组成部分。</w:t>
      </w:r>
    </w:p>
    <w:p w14:paraId="77A7B4A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26.3 采购人不得向中标人提出任何不合理的要求，作为签订合同的条件，不得与中标人私下订立背离合同实质性内容的任何协议，所签订的合同不得对招标文件和中标人投标文件确定的事项进行修改。</w:t>
      </w:r>
    </w:p>
    <w:p w14:paraId="316EBFE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26.4 中标人因不可抗力原因不能履行采购合同或放弃中标的，采购人可以与排在中标人之后第一位的中标候选人签订采购合同，以此类推。</w:t>
      </w:r>
    </w:p>
    <w:p w14:paraId="6B42DD9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26.5招标文件、中标人提交的投标文件、最后报价、中标人承诺书、中标通知书等均称为有法律约束力的合同组成内容。</w:t>
      </w:r>
    </w:p>
    <w:p w14:paraId="6EED692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26.6在签订合同前，采购人有权对中标人投标文件中相关材料的原件进行审查核实，并将投标文件作为合同的一部分。若发现投标文件中相关材料存在虚假投标的，将不予签订合同，并报相关监督检查部门进行处理。若发生以上情况，采购人可以与排在中标人之后第一位的中标候选人签订采购合同，以此类推。</w:t>
      </w:r>
    </w:p>
    <w:p w14:paraId="082710F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26.7 中标人在合同签订之后3个工作日内，将签订的合同一份送采购代理机构备案。</w:t>
      </w:r>
    </w:p>
    <w:p w14:paraId="777E12B0">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27.合同分包（实质性要求）</w:t>
      </w:r>
    </w:p>
    <w:p w14:paraId="4A1FA20F">
      <w:pPr>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 xml:space="preserve">    </w:t>
      </w:r>
      <w:r>
        <w:rPr>
          <w:rFonts w:hint="eastAsia" w:ascii="仿宋" w:hAnsi="仿宋" w:eastAsia="仿宋" w:cs="仿宋"/>
          <w:bCs/>
          <w:sz w:val="24"/>
          <w:szCs w:val="24"/>
          <w:highlight w:val="none"/>
        </w:rPr>
        <w:t>本项目不允许合同任何形式的分包及转让。</w:t>
      </w:r>
    </w:p>
    <w:p w14:paraId="2F13E517">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28.合同转包（实质性要求）</w:t>
      </w:r>
    </w:p>
    <w:p w14:paraId="54F7E93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招标项目严禁中标人将任何采购合同义务转包。本项目所称转包，是指中标人将采购合同义务转让给第三人，并退出现有采购合同当事人双方的权利义务关系，受让人（即第三人）成为采购合同的另一方当事人的行为。</w:t>
      </w:r>
    </w:p>
    <w:p w14:paraId="02A7E15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中标人转包的，视同拒绝履行采购合同义务，将依法追究法律责任。</w:t>
      </w:r>
    </w:p>
    <w:p w14:paraId="55785D47">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29.补充合同</w:t>
      </w:r>
    </w:p>
    <w:p w14:paraId="65B2FE7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采购合同履行过程中，采购人需要追加与合同标的相同的货物或者服务的，在不改变合同其他条款的前提下，可以与中标人协商签订补充合同，但所有补充合同的招标金额不得超过原合同采购金额的百分之十，该补充合同应当在原采购合同履行过程中，不得在原采购合同履行结束后，且采购货物、工程和服务的名称、价格、履约方式、验收标准等必须与原采购合同一致。 </w:t>
      </w:r>
    </w:p>
    <w:p w14:paraId="674AA490">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30.履约保证金</w:t>
      </w:r>
    </w:p>
    <w:p w14:paraId="3E6DA2AA">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本项目履约保证金投标人须知附表中的要求缴纳。</w:t>
      </w:r>
    </w:p>
    <w:p w14:paraId="388DCFF1">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31.履行合同</w:t>
      </w:r>
    </w:p>
    <w:p w14:paraId="275F227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31.1 中标人与采购人签订合同后，合同双方应严格执行合同条款，履行合同规定的义务，保证合同的顺利完成。</w:t>
      </w:r>
    </w:p>
    <w:p w14:paraId="073F4ED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31.2 在合同履行过程中，如发生合同纠纷，合同双方应按照《合同法》的有关规定进行处理。</w:t>
      </w:r>
    </w:p>
    <w:p w14:paraId="26D10C18">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32.验收</w:t>
      </w:r>
    </w:p>
    <w:p w14:paraId="22F0E01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32.1本项目采购人及其委托的采购代理机构将严格按照合同要求，根据品名、规格型号、数量、详细参数等进行验收。</w:t>
      </w:r>
    </w:p>
    <w:p w14:paraId="784626D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32.2 验收结果合格的，中标人办理履约保证金的退付手续；验收结果不合格的，履约保证金将不予退还，也将不予支付采购资金。</w:t>
      </w:r>
    </w:p>
    <w:p w14:paraId="066BAFD3">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33.资金支付</w:t>
      </w:r>
    </w:p>
    <w:p w14:paraId="792FD323">
      <w:pPr>
        <w:spacing w:line="360" w:lineRule="auto"/>
        <w:ind w:firstLine="480" w:firstLineChars="20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采购人将按照采购合同规定，及时向中标人支付采购资金。</w:t>
      </w:r>
    </w:p>
    <w:p w14:paraId="11395FA0">
      <w:pPr>
        <w:pStyle w:val="5"/>
        <w:keepNext w:val="0"/>
        <w:keepLines w:val="0"/>
        <w:spacing w:before="0" w:after="0" w:line="360" w:lineRule="auto"/>
        <w:jc w:val="center"/>
        <w:rPr>
          <w:rFonts w:hint="eastAsia" w:ascii="仿宋" w:hAnsi="仿宋" w:eastAsia="仿宋" w:cs="仿宋"/>
          <w:sz w:val="28"/>
          <w:szCs w:val="28"/>
          <w:highlight w:val="none"/>
        </w:rPr>
      </w:pPr>
      <w:bookmarkStart w:id="91" w:name="_Toc4822"/>
      <w:r>
        <w:rPr>
          <w:rFonts w:hint="eastAsia" w:ascii="仿宋" w:hAnsi="仿宋" w:eastAsia="仿宋" w:cs="仿宋"/>
          <w:sz w:val="28"/>
          <w:szCs w:val="28"/>
          <w:highlight w:val="none"/>
        </w:rPr>
        <w:t>八、纪律要求</w:t>
      </w:r>
      <w:bookmarkEnd w:id="91"/>
    </w:p>
    <w:p w14:paraId="68DA72E1">
      <w:pPr>
        <w:tabs>
          <w:tab w:val="left" w:pos="851"/>
        </w:tabs>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34.投标人不得具有的情形</w:t>
      </w:r>
    </w:p>
    <w:p w14:paraId="27B86D1C">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投标人参加本项目招标活动不得有下列情形：</w:t>
      </w:r>
    </w:p>
    <w:p w14:paraId="7AC2A1EC">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（1）提供虚假材料谋取中标；</w:t>
      </w:r>
    </w:p>
    <w:p w14:paraId="38ED126D">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（2）采取不正当手段诋毁、排挤其他投标人；</w:t>
      </w:r>
    </w:p>
    <w:p w14:paraId="03AA4C96">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（3）与采购人、采购代理机构、或其他投标人恶意串通；</w:t>
      </w:r>
    </w:p>
    <w:p w14:paraId="0E67745D">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（4）向采购人、采购代理机构、评标小组成员行贿或者提供其他不正当利益；</w:t>
      </w:r>
    </w:p>
    <w:p w14:paraId="47655745">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highlight w:val="none"/>
        </w:rPr>
        <w:t>在招标过程中与采购单位进行协商谈判</w:t>
      </w:r>
      <w:r>
        <w:rPr>
          <w:rFonts w:hint="eastAsia" w:ascii="仿宋" w:hAnsi="仿宋" w:eastAsia="仿宋" w:cs="仿宋"/>
          <w:sz w:val="24"/>
          <w:szCs w:val="24"/>
          <w:highlight w:val="none"/>
        </w:rPr>
        <w:t>；</w:t>
      </w:r>
    </w:p>
    <w:p w14:paraId="1730192B">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（6）中标后无正当理由拒不与采购人签订采购合同；</w:t>
      </w:r>
    </w:p>
    <w:p w14:paraId="2BBEDA76">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（7）未按照招标文件确定的事项签订采购合同；</w:t>
      </w:r>
    </w:p>
    <w:p w14:paraId="3E7FFEDB">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（8）将采购合同转包或者违规分包；</w:t>
      </w:r>
    </w:p>
    <w:p w14:paraId="731DA35D">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（9）提供假冒伪劣产品；</w:t>
      </w:r>
    </w:p>
    <w:p w14:paraId="6E64F74E">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（10）擅自变更、中止或者终止采购合同。</w:t>
      </w:r>
    </w:p>
    <w:p w14:paraId="124BD3F4">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投标人有上述情形的，按照规定追究法律责任，具备（1）-（10）条情形之一的，同时将取消被确认为中标人的资格或者认定中标无效。</w:t>
      </w:r>
    </w:p>
    <w:p w14:paraId="1C716718">
      <w:pPr>
        <w:spacing w:line="360" w:lineRule="auto"/>
        <w:rPr>
          <w:rFonts w:hint="eastAsia" w:ascii="仿宋" w:hAnsi="仿宋" w:eastAsia="仿宋" w:cs="仿宋"/>
          <w:sz w:val="24"/>
          <w:szCs w:val="24"/>
          <w:highlight w:val="none"/>
        </w:rPr>
      </w:pPr>
    </w:p>
    <w:p w14:paraId="02BB67EB">
      <w:pPr>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bookmarkStart w:id="92" w:name="_Toc13625"/>
      <w:r>
        <w:rPr>
          <w:rFonts w:hint="eastAsia" w:ascii="仿宋" w:hAnsi="仿宋" w:eastAsia="仿宋" w:cs="仿宋"/>
          <w:b/>
          <w:sz w:val="36"/>
          <w:szCs w:val="36"/>
          <w:highlight w:val="none"/>
        </w:rPr>
        <w:t>第三章  投标人资格条件要求</w:t>
      </w:r>
    </w:p>
    <w:p w14:paraId="7002CCB5">
      <w:pPr>
        <w:spacing w:line="360" w:lineRule="auto"/>
        <w:rPr>
          <w:rFonts w:hint="eastAsia" w:ascii="仿宋" w:hAnsi="仿宋" w:eastAsia="仿宋" w:cs="仿宋"/>
          <w:b/>
          <w:sz w:val="24"/>
          <w:szCs w:val="24"/>
          <w:highlight w:val="none"/>
        </w:rPr>
      </w:pPr>
    </w:p>
    <w:p w14:paraId="706E088C">
      <w:pPr>
        <w:spacing w:line="360" w:lineRule="auto"/>
        <w:ind w:firstLine="630" w:firstLineChars="225"/>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一、参加的投标人应具备下列资格条件：</w:t>
      </w:r>
    </w:p>
    <w:p w14:paraId="1D6BFEDA">
      <w:pPr>
        <w:spacing w:line="360" w:lineRule="auto"/>
        <w:ind w:firstLine="540" w:firstLineChars="225"/>
        <w:rPr>
          <w:rFonts w:hint="eastAsia" w:ascii="仿宋" w:hAnsi="仿宋" w:eastAsia="仿宋" w:cs="仿宋"/>
          <w:sz w:val="24"/>
          <w:szCs w:val="24"/>
          <w:highlight w:val="none"/>
        </w:rPr>
      </w:pPr>
      <w:r>
        <w:rPr>
          <w:rFonts w:hint="eastAsia" w:ascii="仿宋" w:hAnsi="仿宋" w:eastAsia="仿宋" w:cs="仿宋"/>
          <w:sz w:val="24"/>
          <w:szCs w:val="24"/>
          <w:highlight w:val="none"/>
        </w:rPr>
        <w:t>（一）投标人应具备的资格条件：</w:t>
      </w:r>
    </w:p>
    <w:p w14:paraId="2924C59C">
      <w:pPr>
        <w:pStyle w:val="31"/>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（1）具有独立承担民事责任的能力。</w:t>
      </w:r>
    </w:p>
    <w:p w14:paraId="7A649838">
      <w:pPr>
        <w:tabs>
          <w:tab w:val="left" w:pos="7665"/>
        </w:tabs>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（2）具有良好的商业信誉和健全的财务会计制度。</w:t>
      </w:r>
    </w:p>
    <w:p w14:paraId="603CC68B">
      <w:pPr>
        <w:tabs>
          <w:tab w:val="left" w:pos="7665"/>
        </w:tabs>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（3）具有履行合同所必须的设备和专业技术能力。</w:t>
      </w:r>
    </w:p>
    <w:p w14:paraId="7223CAD5">
      <w:pPr>
        <w:tabs>
          <w:tab w:val="left" w:pos="7665"/>
        </w:tabs>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（4）具有依法缴纳税收和社会保障资金的良好记录。</w:t>
      </w:r>
    </w:p>
    <w:p w14:paraId="1D12F4D2">
      <w:pPr>
        <w:tabs>
          <w:tab w:val="left" w:pos="7665"/>
        </w:tabs>
        <w:spacing w:line="360" w:lineRule="auto"/>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（5）参加本次采购活动前三年内，在经营活动中没有重大违法记录。</w:t>
      </w:r>
    </w:p>
    <w:p w14:paraId="6D1F9888">
      <w:pPr>
        <w:pStyle w:val="31"/>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（6）符合法律、行政法规规定的其他条件。</w:t>
      </w:r>
    </w:p>
    <w:p w14:paraId="53979ACF">
      <w:pPr>
        <w:pStyle w:val="31"/>
        <w:ind w:firstLine="480" w:firstLineChars="200"/>
        <w:jc w:val="left"/>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1.1.2本项目参加采购活动的投标人单位及其现任法定代表人、主要负责人在前三年内不得具有行贿犯罪记录。</w:t>
      </w:r>
    </w:p>
    <w:p w14:paraId="71D49177">
      <w:pPr>
        <w:pStyle w:val="31"/>
        <w:ind w:firstLine="480" w:firstLineChars="200"/>
        <w:jc w:val="left"/>
        <w:rPr>
          <w:rFonts w:hint="eastAsia" w:ascii="仿宋" w:hAnsi="仿宋" w:eastAsia="仿宋" w:cs="仿宋"/>
          <w:bCs/>
          <w:color w:val="auto"/>
          <w:sz w:val="24"/>
          <w:szCs w:val="24"/>
          <w:highlight w:val="none"/>
          <w:lang w:val="en-US" w:eastAsia="zh-CN"/>
        </w:rPr>
      </w:pPr>
      <w:r>
        <w:rPr>
          <w:rFonts w:hint="eastAsia" w:ascii="仿宋" w:hAnsi="仿宋" w:eastAsia="仿宋" w:cs="仿宋"/>
          <w:b/>
          <w:bCs/>
          <w:color w:val="000000" w:themeColor="text1"/>
          <w:sz w:val="24"/>
          <w:highlight w:val="none"/>
          <w14:textFill>
            <w14:solidFill>
              <w14:schemeClr w14:val="tx1"/>
            </w14:solidFill>
          </w14:textFill>
        </w:rPr>
        <w:t>1.2资质性要求：</w:t>
      </w:r>
      <w:r>
        <w:rPr>
          <w:rFonts w:hint="eastAsia" w:ascii="仿宋" w:hAnsi="仿宋" w:eastAsia="仿宋" w:cs="仿宋"/>
          <w:bCs/>
          <w:color w:val="auto"/>
          <w:sz w:val="24"/>
          <w:szCs w:val="24"/>
          <w:highlight w:val="none"/>
          <w:lang w:val="en-US" w:eastAsia="zh-CN"/>
        </w:rPr>
        <w:t>供应商投标产品为医疗器械时，供应商须符合《医疗器械监督管理条例》要求并提供供应商经营该产品的经营许可/经营备案证明材料，投标产品须符合《医疗器械注册管理办法》要求并提供产品的注册/备案证明材料。投标产品为进口产品时：投标人非投标产品制造商的需提供产品制造商对投标产品的授权，或提供具有授权权限的代理商对投标产品的授权（且需提供该代理商具有有效授权权限的相关证明文件，证明文件需能显示产品制造商对投标产品授权链条的完整性。)</w:t>
      </w:r>
    </w:p>
    <w:p w14:paraId="2E5B84AD">
      <w:pPr>
        <w:pStyle w:val="31"/>
        <w:ind w:firstLine="480" w:firstLineChars="200"/>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1.3其他类似效力要求：</w:t>
      </w:r>
    </w:p>
    <w:p w14:paraId="57201AA2">
      <w:pPr>
        <w:pStyle w:val="31"/>
        <w:ind w:firstLine="480" w:firstLineChars="200"/>
        <w:jc w:val="left"/>
        <w:rPr>
          <w:rFonts w:hint="default" w:ascii="仿宋" w:hAnsi="仿宋" w:eastAsia="仿宋" w:cs="仿宋"/>
          <w:kern w:val="2"/>
          <w:sz w:val="24"/>
          <w:szCs w:val="24"/>
          <w:highlight w:val="none"/>
          <w:lang w:val="en-US" w:eastAsia="zh-CN"/>
        </w:rPr>
      </w:pPr>
      <w:r>
        <w:rPr>
          <w:rFonts w:hint="eastAsia" w:ascii="仿宋" w:hAnsi="仿宋" w:eastAsia="仿宋" w:cs="仿宋"/>
          <w:color w:val="000000" w:themeColor="text1"/>
          <w:sz w:val="24"/>
          <w:highlight w:val="none"/>
          <w14:textFill>
            <w14:solidFill>
              <w14:schemeClr w14:val="tx1"/>
            </w14:solidFill>
          </w14:textFill>
        </w:rPr>
        <w:t>1.3.1授权参加本次投标活动的投标人代表证明材料</w:t>
      </w:r>
      <w:r>
        <w:rPr>
          <w:rFonts w:hint="eastAsia" w:ascii="仿宋" w:hAnsi="仿宋" w:eastAsia="仿宋" w:cs="仿宋"/>
          <w:color w:val="000000" w:themeColor="text1"/>
          <w:sz w:val="32"/>
          <w:highlight w:val="none"/>
          <w14:textFill>
            <w14:solidFill>
              <w14:schemeClr w14:val="tx1"/>
            </w14:solidFill>
          </w14:textFill>
        </w:rPr>
        <w:t>。</w:t>
      </w:r>
      <w:r>
        <w:rPr>
          <w:rFonts w:hint="eastAsia" w:ascii="仿宋" w:hAnsi="仿宋" w:eastAsia="仿宋" w:cs="仿宋"/>
          <w:kern w:val="2"/>
          <w:sz w:val="24"/>
          <w:szCs w:val="24"/>
          <w:highlight w:val="none"/>
        </w:rPr>
        <w:t xml:space="preserve"> </w:t>
      </w:r>
    </w:p>
    <w:p w14:paraId="2FE5723E">
      <w:pPr>
        <w:pStyle w:val="5"/>
        <w:numPr>
          <w:ilvl w:val="0"/>
          <w:numId w:val="1"/>
        </w:numPr>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投标产品的资格、资质性及其他具有类似效力的要求</w:t>
      </w:r>
    </w:p>
    <w:p w14:paraId="477F25CC">
      <w:pPr>
        <w:pStyle w:val="31"/>
        <w:ind w:firstLine="480" w:firstLineChars="200"/>
        <w:jc w:val="left"/>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2.1资格要求：</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供应商投标产品为医疗器械时，供应商须符合《医疗器械监督管理条例》要求并提供供应商经营该产品的经营许可/经营备案证明材料，投标产品须符合《医疗器械注册管理办法》要求并提供产品的注册/备案证明材料。投标产品为进口产品时：投标人非投标产品制造商的需提供产品制造商对投标产品的授权，或提供具有授权权限的代理商对投标产品的授权（且需提供该代理商具有有效授权权限的相关证明文件，证明文件需能显示产品制造商对投标产品授权链条的完整性。)。</w:t>
      </w:r>
    </w:p>
    <w:p w14:paraId="1A27E27B">
      <w:pPr>
        <w:pStyle w:val="31"/>
        <w:ind w:firstLine="480" w:firstLineChars="200"/>
        <w:jc w:val="left"/>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2.2资质性要求：</w:t>
      </w:r>
      <w:r>
        <w:rPr>
          <w:rFonts w:hint="eastAsia" w:ascii="仿宋" w:hAnsi="仿宋" w:eastAsia="仿宋" w:cs="仿宋"/>
          <w:color w:val="000000" w:themeColor="text1"/>
          <w:sz w:val="24"/>
          <w:highlight w:val="none"/>
          <w14:textFill>
            <w14:solidFill>
              <w14:schemeClr w14:val="tx1"/>
            </w14:solidFill>
          </w14:textFill>
        </w:rPr>
        <w:t>无。</w:t>
      </w:r>
    </w:p>
    <w:p w14:paraId="0F732117">
      <w:pPr>
        <w:pStyle w:val="31"/>
        <w:ind w:firstLine="480" w:firstLineChars="200"/>
        <w:jc w:val="left"/>
        <w:rPr>
          <w:rFonts w:hint="eastAsia" w:ascii="仿宋" w:hAnsi="仿宋" w:eastAsia="仿宋" w:cs="仿宋"/>
          <w:color w:val="000000" w:themeColor="text1"/>
          <w:sz w:val="32"/>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2.3其他类似效力要求：</w:t>
      </w:r>
      <w:r>
        <w:rPr>
          <w:rFonts w:hint="eastAsia" w:ascii="仿宋" w:hAnsi="仿宋" w:eastAsia="仿宋" w:cs="仿宋"/>
          <w:color w:val="000000" w:themeColor="text1"/>
          <w:sz w:val="24"/>
          <w:highlight w:val="none"/>
          <w14:textFill>
            <w14:solidFill>
              <w14:schemeClr w14:val="tx1"/>
            </w14:solidFill>
          </w14:textFill>
        </w:rPr>
        <w:t>无。</w:t>
      </w:r>
    </w:p>
    <w:p w14:paraId="4AA8E074">
      <w:pPr>
        <w:pStyle w:val="2"/>
        <w:spacing w:after="0" w:line="40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注： 1、投标人在参加采购活动前，被纳入法院、工商行政管理部门、税务部门、银行认定的失信名单且在有效期内的，或者在前三年采购合同履约过程中及其他经营活动履约过程中未依法履约被有关部门处以重大违法处罚的，本项目不能认定其具有良好的商业信誉。</w:t>
      </w:r>
    </w:p>
    <w:p w14:paraId="0094E5FC">
      <w:pPr>
        <w:tabs>
          <w:tab w:val="left" w:pos="7665"/>
        </w:tabs>
        <w:spacing w:line="360" w:lineRule="auto"/>
        <w:ind w:firstLine="480" w:firstLineChars="20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2、本项目确定投标人重大违法记录中较大数额罚款标准为：人民币</w:t>
      </w:r>
      <w:r>
        <w:rPr>
          <w:rFonts w:hint="eastAsia" w:ascii="仿宋" w:hAnsi="仿宋" w:eastAsia="仿宋" w:cs="仿宋"/>
          <w:kern w:val="2"/>
          <w:sz w:val="24"/>
          <w:szCs w:val="24"/>
          <w:highlight w:val="none"/>
          <w:lang w:val="en-US" w:eastAsia="zh-CN"/>
        </w:rPr>
        <w:t>2000</w:t>
      </w:r>
      <w:r>
        <w:rPr>
          <w:rFonts w:hint="eastAsia" w:ascii="仿宋" w:hAnsi="仿宋" w:eastAsia="仿宋" w:cs="仿宋"/>
          <w:kern w:val="2"/>
          <w:sz w:val="24"/>
          <w:szCs w:val="24"/>
          <w:highlight w:val="none"/>
        </w:rPr>
        <w:t>000.00元;但是，如果采购项目所属行业有特别法规规定的，从其规定。</w:t>
      </w:r>
    </w:p>
    <w:p w14:paraId="3EBEAC0B">
      <w:pPr>
        <w:spacing w:line="360" w:lineRule="auto"/>
        <w:jc w:val="center"/>
        <w:outlineLvl w:val="0"/>
        <w:rPr>
          <w:rFonts w:hint="eastAsia" w:ascii="仿宋" w:hAnsi="仿宋" w:eastAsia="仿宋" w:cs="仿宋"/>
          <w:b/>
          <w:sz w:val="24"/>
          <w:szCs w:val="24"/>
          <w:highlight w:val="none"/>
        </w:rPr>
      </w:pPr>
      <w:r>
        <w:rPr>
          <w:rFonts w:hint="eastAsia" w:ascii="仿宋" w:hAnsi="仿宋" w:eastAsia="仿宋" w:cs="仿宋"/>
          <w:b/>
          <w:sz w:val="36"/>
          <w:szCs w:val="36"/>
          <w:highlight w:val="none"/>
        </w:rPr>
        <w:br w:type="page"/>
      </w:r>
      <w:r>
        <w:rPr>
          <w:rFonts w:hint="eastAsia" w:ascii="仿宋" w:hAnsi="仿宋" w:eastAsia="仿宋" w:cs="仿宋"/>
          <w:b/>
          <w:sz w:val="36"/>
          <w:szCs w:val="36"/>
          <w:highlight w:val="none"/>
        </w:rPr>
        <w:t>第四章  投标人资格证明材料</w:t>
      </w:r>
    </w:p>
    <w:p w14:paraId="73BD92D5">
      <w:pPr>
        <w:spacing w:line="360" w:lineRule="auto"/>
        <w:ind w:firstLine="560" w:firstLineChars="200"/>
        <w:outlineLvl w:val="1"/>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一、应当提供的投标人资格、资质性及其他类似效力要求的相关证明材料</w:t>
      </w:r>
    </w:p>
    <w:p w14:paraId="7D53B36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1.1资格要求相关证明材料：</w:t>
      </w:r>
    </w:p>
    <w:p w14:paraId="45174961">
      <w:pPr>
        <w:pStyle w:val="34"/>
        <w:spacing w:beforeLines="0" w:afterLines="0"/>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1）①投标人若为企业法人：提供“统一社会信用代码营业执照”；②若为事业法人：提供“统一社会信用代码法人登记证书”；③若为其他组织：提供“对应主管部门颁发的准许执业证明文件或营业执照”；④投标人若为自然人：提供“身份证明材料”。以上均提供复印件。</w:t>
      </w:r>
    </w:p>
    <w:p w14:paraId="7DF7DAEF">
      <w:pPr>
        <w:widowControl/>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（2）投标人须提供依法缴纳税收和社会保障资金的承诺函原件（格式11）或者近三个月依法缴纳税收和社会保障资金的证明材料复印件。</w:t>
      </w:r>
    </w:p>
    <w:p w14:paraId="716BEA1B">
      <w:pPr>
        <w:pStyle w:val="34"/>
        <w:spacing w:beforeLines="0" w:afterLines="0"/>
        <w:ind w:firstLine="480"/>
        <w:rPr>
          <w:rFonts w:hint="eastAsia" w:ascii="仿宋" w:hAnsi="仿宋" w:eastAsia="仿宋" w:cs="仿宋"/>
          <w:bCs/>
          <w:sz w:val="24"/>
          <w:szCs w:val="24"/>
          <w:highlight w:val="none"/>
        </w:rPr>
      </w:pPr>
      <w:r>
        <w:rPr>
          <w:rFonts w:hint="eastAsia" w:ascii="仿宋" w:hAnsi="仿宋" w:eastAsia="仿宋" w:cs="仿宋"/>
          <w:bCs/>
          <w:sz w:val="24"/>
          <w:szCs w:val="24"/>
          <w:highlight w:val="none"/>
        </w:rPr>
        <w:t>（3）体现健全的财务制度的证明材料：①可提供20</w:t>
      </w:r>
      <w:r>
        <w:rPr>
          <w:rFonts w:hint="eastAsia" w:ascii="仿宋" w:hAnsi="仿宋" w:eastAsia="仿宋" w:cs="仿宋"/>
          <w:bCs/>
          <w:sz w:val="24"/>
          <w:szCs w:val="24"/>
          <w:highlight w:val="none"/>
          <w:lang w:val="en-US" w:eastAsia="zh-CN"/>
        </w:rPr>
        <w:t>21</w:t>
      </w:r>
      <w:r>
        <w:rPr>
          <w:rFonts w:hint="eastAsia" w:ascii="仿宋" w:hAnsi="仿宋" w:eastAsia="仿宋" w:cs="仿宋"/>
          <w:bCs/>
          <w:sz w:val="24"/>
          <w:szCs w:val="24"/>
          <w:highlight w:val="none"/>
        </w:rPr>
        <w:t>-20</w:t>
      </w:r>
      <w:r>
        <w:rPr>
          <w:rFonts w:hint="eastAsia" w:ascii="仿宋" w:hAnsi="仿宋" w:eastAsia="仿宋" w:cs="仿宋"/>
          <w:bCs/>
          <w:sz w:val="24"/>
          <w:szCs w:val="24"/>
          <w:highlight w:val="none"/>
          <w:lang w:val="en-US" w:eastAsia="zh-CN"/>
        </w:rPr>
        <w:t>23</w:t>
      </w:r>
      <w:r>
        <w:rPr>
          <w:rFonts w:hint="eastAsia" w:ascii="仿宋" w:hAnsi="仿宋" w:eastAsia="仿宋" w:cs="仿宋"/>
          <w:bCs/>
          <w:sz w:val="24"/>
          <w:szCs w:val="24"/>
          <w:highlight w:val="none"/>
        </w:rPr>
        <w:t>年度（任意一年）经审计的财务报告复印件（包含审计报告和审计报告中所涉及的财务报表和报表附注）；②也可提供20</w:t>
      </w:r>
      <w:r>
        <w:rPr>
          <w:rFonts w:hint="eastAsia" w:ascii="仿宋" w:hAnsi="仿宋" w:eastAsia="仿宋" w:cs="仿宋"/>
          <w:bCs/>
          <w:sz w:val="24"/>
          <w:szCs w:val="24"/>
          <w:highlight w:val="none"/>
          <w:lang w:val="en-US" w:eastAsia="zh-CN"/>
        </w:rPr>
        <w:t>21</w:t>
      </w:r>
      <w:r>
        <w:rPr>
          <w:rFonts w:hint="eastAsia" w:ascii="仿宋" w:hAnsi="仿宋" w:eastAsia="仿宋" w:cs="仿宋"/>
          <w:bCs/>
          <w:sz w:val="24"/>
          <w:szCs w:val="24"/>
          <w:highlight w:val="none"/>
        </w:rPr>
        <w:t>-20</w:t>
      </w:r>
      <w:r>
        <w:rPr>
          <w:rFonts w:hint="eastAsia" w:ascii="仿宋" w:hAnsi="仿宋" w:eastAsia="仿宋" w:cs="仿宋"/>
          <w:bCs/>
          <w:sz w:val="24"/>
          <w:szCs w:val="24"/>
          <w:highlight w:val="none"/>
          <w:lang w:val="en-US" w:eastAsia="zh-CN"/>
        </w:rPr>
        <w:t>23</w:t>
      </w:r>
      <w:r>
        <w:rPr>
          <w:rFonts w:hint="eastAsia" w:ascii="仿宋" w:hAnsi="仿宋" w:eastAsia="仿宋" w:cs="仿宋"/>
          <w:bCs/>
          <w:sz w:val="24"/>
          <w:szCs w:val="24"/>
          <w:highlight w:val="none"/>
        </w:rPr>
        <w:t>年度（任意一年）投标人内部的财务报表复印件（至少包含资产负债表）；③也可提供距文件递交截止日一年内银行出具的资信证明（复印件）；④投标人注册时间至文件递交截止日不足一年的，也可提供在工商备案的公司章程（复印件）。</w:t>
      </w:r>
    </w:p>
    <w:p w14:paraId="43D48BE1">
      <w:pPr>
        <w:pStyle w:val="34"/>
        <w:spacing w:beforeLines="0" w:afterLines="0"/>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（4）投标函原件（</w:t>
      </w:r>
      <w:r>
        <w:rPr>
          <w:rFonts w:hint="eastAsia" w:ascii="仿宋" w:hAnsi="仿宋" w:eastAsia="仿宋" w:cs="仿宋"/>
          <w:bCs/>
          <w:sz w:val="24"/>
          <w:szCs w:val="24"/>
          <w:highlight w:val="none"/>
        </w:rPr>
        <w:t>格式4）</w:t>
      </w:r>
      <w:r>
        <w:rPr>
          <w:rFonts w:hint="eastAsia" w:ascii="仿宋" w:hAnsi="仿宋" w:eastAsia="仿宋" w:cs="仿宋"/>
          <w:sz w:val="24"/>
          <w:szCs w:val="24"/>
          <w:highlight w:val="none"/>
        </w:rPr>
        <w:t>。</w:t>
      </w:r>
    </w:p>
    <w:p w14:paraId="6284B15C">
      <w:pPr>
        <w:pStyle w:val="34"/>
        <w:spacing w:beforeLines="0" w:afterLines="0"/>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（5）承诺函原件（格式3）。</w:t>
      </w:r>
    </w:p>
    <w:p w14:paraId="47719E93">
      <w:pPr>
        <w:pStyle w:val="34"/>
        <w:spacing w:beforeLines="0" w:afterLines="0"/>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z w:val="24"/>
          <w:szCs w:val="24"/>
          <w:highlight w:val="none"/>
        </w:rPr>
        <w:t>1.1.2</w:t>
      </w:r>
      <w:r>
        <w:rPr>
          <w:rFonts w:hint="eastAsia" w:ascii="仿宋" w:hAnsi="仿宋" w:eastAsia="仿宋" w:cs="仿宋"/>
          <w:color w:val="000000" w:themeColor="text1"/>
          <w:sz w:val="24"/>
          <w:highlight w:val="none"/>
          <w14:textFill>
            <w14:solidFill>
              <w14:schemeClr w14:val="tx1"/>
            </w14:solidFill>
          </w14:textFill>
        </w:rPr>
        <w:t>提供投标人单位及其现任法定代表人、主要负责人在参加采购活动前三年内无行贿犯罪记录的承诺函</w:t>
      </w:r>
      <w:r>
        <w:rPr>
          <w:rFonts w:hint="eastAsia" w:ascii="仿宋" w:hAnsi="仿宋" w:eastAsia="仿宋" w:cs="仿宋"/>
          <w:sz w:val="24"/>
          <w:highlight w:val="none"/>
        </w:rPr>
        <w:t>（格式12）</w:t>
      </w:r>
      <w:r>
        <w:rPr>
          <w:rFonts w:hint="eastAsia" w:ascii="仿宋" w:hAnsi="仿宋" w:eastAsia="仿宋" w:cs="仿宋"/>
          <w:color w:val="000000" w:themeColor="text1"/>
          <w:sz w:val="24"/>
          <w:highlight w:val="none"/>
          <w14:textFill>
            <w14:solidFill>
              <w14:schemeClr w14:val="tx1"/>
            </w14:solidFill>
          </w14:textFill>
        </w:rPr>
        <w:t>（注：如经核实属虚假承诺的，将做无效投标处理）。</w:t>
      </w:r>
    </w:p>
    <w:p w14:paraId="0F313CD2">
      <w:pPr>
        <w:pStyle w:val="34"/>
        <w:spacing w:before="46" w:after="46"/>
        <w:ind w:firstLine="482"/>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1.2</w:t>
      </w:r>
      <w:r>
        <w:rPr>
          <w:rFonts w:hint="eastAsia" w:ascii="仿宋" w:hAnsi="仿宋" w:eastAsia="仿宋" w:cs="仿宋"/>
          <w:b/>
          <w:color w:val="000000" w:themeColor="text1"/>
          <w:sz w:val="24"/>
          <w:highlight w:val="none"/>
          <w14:textFill>
            <w14:solidFill>
              <w14:schemeClr w14:val="tx1"/>
            </w14:solidFill>
          </w14:textFill>
        </w:rPr>
        <w:t>应当提供的资质性要求相关证明材料：</w:t>
      </w:r>
    </w:p>
    <w:p w14:paraId="6B6DA136">
      <w:pPr>
        <w:pStyle w:val="34"/>
        <w:spacing w:before="46" w:after="46"/>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1.2.1</w:t>
      </w:r>
      <w:r>
        <w:rPr>
          <w:rFonts w:hint="eastAsia" w:ascii="仿宋" w:hAnsi="仿宋" w:eastAsia="仿宋" w:cs="仿宋"/>
          <w:color w:val="000000" w:themeColor="text1"/>
          <w:sz w:val="24"/>
          <w:highlight w:val="none"/>
          <w:lang w:val="en-US" w:eastAsia="zh-CN"/>
          <w14:textFill>
            <w14:solidFill>
              <w14:schemeClr w14:val="tx1"/>
            </w14:solidFill>
          </w14:textFill>
        </w:rPr>
        <w:t>供应商投标产品为医疗器械时，供应商须符合《医疗器械监督管理条例》要求并提供供应商经营该产品的经营许可/经营备案证明材料，投标产品须符合《医疗器械注册管理办法》要求并提供产品的注册/备案证明材料。</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投标产品为进口产品时：投标人非投标产品制造商的需提供产品制造商对投标产品的授权，或提供具有授权权限的代理商对投标产品的授权（且需提供该代理商具有有效授权权限的相关证明文件，证明文件需能显示产品制造商对投标产品授权链条的完整性。)</w:t>
      </w:r>
      <w:r>
        <w:rPr>
          <w:rFonts w:hint="eastAsia" w:ascii="仿宋" w:hAnsi="仿宋" w:eastAsia="仿宋" w:cs="仿宋"/>
          <w:color w:val="000000" w:themeColor="text1"/>
          <w:sz w:val="24"/>
          <w:highlight w:val="none"/>
          <w:lang w:val="en-US" w:eastAsia="zh-CN"/>
          <w14:textFill>
            <w14:solidFill>
              <w14:schemeClr w14:val="tx1"/>
            </w14:solidFill>
          </w14:textFill>
        </w:rPr>
        <w:t>。</w:t>
      </w:r>
    </w:p>
    <w:p w14:paraId="4C8A8D96">
      <w:pPr>
        <w:pStyle w:val="34"/>
        <w:spacing w:before="46" w:after="46"/>
        <w:ind w:firstLine="482"/>
        <w:rPr>
          <w:rFonts w:hint="eastAsia" w:ascii="仿宋" w:hAnsi="仿宋" w:eastAsia="仿宋" w:cs="仿宋"/>
          <w:b/>
          <w:bCs/>
          <w:color w:val="000000" w:themeColor="text1"/>
          <w:sz w:val="24"/>
          <w:highlight w:val="none"/>
          <w14:textFill>
            <w14:solidFill>
              <w14:schemeClr w14:val="tx1"/>
            </w14:solidFill>
          </w14:textFill>
        </w:rPr>
      </w:pPr>
      <w:r>
        <w:rPr>
          <w:rFonts w:hint="eastAsia" w:ascii="仿宋" w:hAnsi="仿宋" w:eastAsia="仿宋" w:cs="仿宋"/>
          <w:b/>
          <w:bCs/>
          <w:color w:val="000000" w:themeColor="text1"/>
          <w:sz w:val="24"/>
          <w:highlight w:val="none"/>
          <w14:textFill>
            <w14:solidFill>
              <w14:schemeClr w14:val="tx1"/>
            </w14:solidFill>
          </w14:textFill>
        </w:rPr>
        <w:t>1.3应当提供的具有其他类似效力要求的相关证明材料：</w:t>
      </w:r>
    </w:p>
    <w:p w14:paraId="64C2F37D">
      <w:pPr>
        <w:pStyle w:val="34"/>
        <w:spacing w:before="46" w:after="46"/>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1.3.1法定代表人身份证复印件。</w:t>
      </w:r>
    </w:p>
    <w:p w14:paraId="26C8461A">
      <w:pPr>
        <w:pStyle w:val="34"/>
        <w:spacing w:before="46" w:after="46"/>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1.3.2法定代表人授权书</w:t>
      </w:r>
      <w:r>
        <w:rPr>
          <w:rFonts w:hint="eastAsia" w:ascii="仿宋" w:hAnsi="仿宋" w:eastAsia="仿宋" w:cs="仿宋"/>
          <w:sz w:val="24"/>
          <w:highlight w:val="none"/>
        </w:rPr>
        <w:t>（格式1）</w:t>
      </w:r>
      <w:r>
        <w:rPr>
          <w:rFonts w:hint="eastAsia" w:ascii="仿宋" w:hAnsi="仿宋" w:eastAsia="仿宋" w:cs="仿宋"/>
          <w:color w:val="000000" w:themeColor="text1"/>
          <w:sz w:val="24"/>
          <w:highlight w:val="none"/>
          <w14:textFill>
            <w14:solidFill>
              <w14:schemeClr w14:val="tx1"/>
            </w14:solidFill>
          </w14:textFill>
        </w:rPr>
        <w:t>原件和授权代表身份证复印件（投标人代表为非法定代表人时提供）。</w:t>
      </w:r>
    </w:p>
    <w:p w14:paraId="4A09E467">
      <w:pPr>
        <w:pStyle w:val="5"/>
        <w:spacing w:line="360" w:lineRule="auto"/>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二、应当提供的投标产品的资格、资质性及其他类似效力要求的相关证明材料</w:t>
      </w:r>
    </w:p>
    <w:p w14:paraId="4E6D55E1">
      <w:pPr>
        <w:pStyle w:val="34"/>
        <w:spacing w:before="46" w:after="46"/>
        <w:ind w:firstLine="482"/>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2.1应当提供的资格要求的相关证明材料：</w:t>
      </w:r>
    </w:p>
    <w:p w14:paraId="6915A0AE">
      <w:pPr>
        <w:pStyle w:val="34"/>
        <w:spacing w:before="46" w:after="46"/>
        <w:ind w:firstLine="48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2.1.1</w:t>
      </w:r>
      <w:r>
        <w:rPr>
          <w:rFonts w:hint="eastAsia"/>
          <w:bCs/>
          <w:color w:val="auto"/>
          <w:sz w:val="24"/>
          <w:szCs w:val="24"/>
          <w:highlight w:val="none"/>
          <w:lang w:val="en-US" w:eastAsia="zh-CN"/>
        </w:rPr>
        <w:t>供应商投标产品为医疗器械时，供应商须符合《医疗器械监督管理条例》要求并提供供应商经营该产品的经营许可/经营备案证明材料，投标产品须符合《医疗器械注册管理办法》要求并提供产品的注册/备案证明材料。</w:t>
      </w:r>
      <w:r>
        <w:rPr>
          <w:rFonts w:hint="eastAsia" w:ascii="仿宋" w:hAnsi="仿宋" w:eastAsia="仿宋" w:cs="仿宋"/>
          <w:b w:val="0"/>
          <w:bCs w:val="0"/>
          <w:color w:val="000000" w:themeColor="text1"/>
          <w:sz w:val="24"/>
          <w:highlight w:val="none"/>
          <w:lang w:val="en-US" w:eastAsia="zh-CN"/>
          <w14:textFill>
            <w14:solidFill>
              <w14:schemeClr w14:val="tx1"/>
            </w14:solidFill>
          </w14:textFill>
        </w:rPr>
        <w:t>投标产品为进口产品时：投标人非投标产品制造商的需提供产品制造商对投标产品的授权，或提供具有授权权限的代理商对投标产品的授权（且需提供该代理商具有有效授权权限的相关证明文件，证明文件需能显示产品制造商对投标产品授权链条的完整性。)</w:t>
      </w:r>
      <w:r>
        <w:rPr>
          <w:rFonts w:hint="eastAsia"/>
          <w:bCs/>
          <w:color w:val="auto"/>
          <w:sz w:val="24"/>
          <w:szCs w:val="24"/>
          <w:highlight w:val="none"/>
          <w:lang w:val="en-US" w:eastAsia="zh-CN"/>
        </w:rPr>
        <w:t>。</w:t>
      </w:r>
    </w:p>
    <w:p w14:paraId="0408BF06">
      <w:pPr>
        <w:pStyle w:val="34"/>
        <w:spacing w:before="46" w:after="46"/>
        <w:ind w:firstLine="482"/>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2.2应当提供的资质性要求相关证明材料：</w:t>
      </w:r>
      <w:r>
        <w:rPr>
          <w:rFonts w:hint="eastAsia" w:ascii="仿宋" w:hAnsi="仿宋" w:eastAsia="仿宋" w:cs="仿宋"/>
          <w:color w:val="000000" w:themeColor="text1"/>
          <w:sz w:val="24"/>
          <w:highlight w:val="none"/>
          <w14:textFill>
            <w14:solidFill>
              <w14:schemeClr w14:val="tx1"/>
            </w14:solidFill>
          </w14:textFill>
        </w:rPr>
        <w:t>无。</w:t>
      </w:r>
    </w:p>
    <w:p w14:paraId="1C6113C0">
      <w:pPr>
        <w:rPr>
          <w:rFonts w:hint="eastAsia" w:ascii="仿宋" w:hAnsi="仿宋" w:eastAsia="仿宋" w:cs="仿宋"/>
          <w:color w:val="000000" w:themeColor="text1"/>
          <w:sz w:val="32"/>
          <w:highlight w:val="none"/>
          <w14:textFill>
            <w14:solidFill>
              <w14:schemeClr w14:val="tx1"/>
            </w14:solidFill>
          </w14:textFill>
        </w:rPr>
      </w:pPr>
    </w:p>
    <w:p w14:paraId="0C272B15">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b/>
          <w:bCs/>
          <w:color w:val="000000" w:themeColor="text1"/>
          <w:sz w:val="24"/>
          <w:highlight w:val="none"/>
          <w14:textFill>
            <w14:solidFill>
              <w14:schemeClr w14:val="tx1"/>
            </w14:solidFill>
          </w14:textFill>
        </w:rPr>
        <w:t>注：</w:t>
      </w:r>
      <w:r>
        <w:rPr>
          <w:rFonts w:hint="eastAsia" w:ascii="仿宋" w:hAnsi="仿宋" w:eastAsia="仿宋" w:cs="仿宋"/>
          <w:sz w:val="24"/>
          <w:szCs w:val="24"/>
          <w:highlight w:val="none"/>
        </w:rPr>
        <w:t>1.本章要求提供的相关证明材料应当与第三章的规定要求对应，并且是有效的证明材料。除投标人自愿以外，不能要求投标人提供额外的证明材料。如果要求提供额外的证明材料，投标人有权拒绝提供，且不影响投标文件的有效性和完整性。</w:t>
      </w:r>
    </w:p>
    <w:p w14:paraId="0F285FE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2.本章要求提供的相关证明材料应当结合采购项目具体情况和投标人的组织机构性质确定，不得一概而论。</w:t>
      </w:r>
    </w:p>
    <w:p w14:paraId="7514CE01">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sz w:val="24"/>
          <w:szCs w:val="24"/>
          <w:highlight w:val="none"/>
        </w:rPr>
        <w:t>3.本章提供的证明材料是资格性审查的主要依据，未通过审查者做无效投标文件处理</w:t>
      </w:r>
    </w:p>
    <w:p w14:paraId="6B6E03A9">
      <w:pPr>
        <w:spacing w:line="360" w:lineRule="auto"/>
        <w:ind w:firstLine="480" w:firstLineChars="200"/>
        <w:rPr>
          <w:rFonts w:hint="eastAsia" w:ascii="仿宋" w:hAnsi="仿宋" w:eastAsia="仿宋" w:cs="仿宋"/>
          <w:color w:val="FF0000"/>
          <w:sz w:val="24"/>
          <w:highlight w:val="none"/>
        </w:rPr>
      </w:pPr>
      <w:r>
        <w:rPr>
          <w:rFonts w:hint="eastAsia" w:ascii="仿宋" w:hAnsi="仿宋" w:eastAsia="仿宋" w:cs="仿宋"/>
          <w:color w:val="000000" w:themeColor="text1"/>
          <w:sz w:val="24"/>
          <w:highlight w:val="none"/>
          <w14:textFill>
            <w14:solidFill>
              <w14:schemeClr w14:val="tx1"/>
            </w14:solidFill>
          </w14:textFill>
        </w:rPr>
        <w:t>4.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w:t>
      </w:r>
    </w:p>
    <w:bookmarkEnd w:id="92"/>
    <w:p w14:paraId="5953E8E7">
      <w:pPr>
        <w:pStyle w:val="34"/>
        <w:spacing w:beforeLines="0" w:afterLines="0"/>
        <w:ind w:firstLine="480"/>
        <w:rPr>
          <w:rFonts w:hint="eastAsia" w:ascii="仿宋" w:hAnsi="仿宋" w:eastAsia="仿宋" w:cs="仿宋"/>
          <w:color w:val="000000" w:themeColor="text1"/>
          <w:sz w:val="24"/>
          <w:highlight w:val="none"/>
          <w14:textFill>
            <w14:solidFill>
              <w14:schemeClr w14:val="tx1"/>
            </w14:solidFill>
          </w14:textFill>
        </w:rPr>
      </w:pPr>
    </w:p>
    <w:p w14:paraId="696E68E2">
      <w:pPr>
        <w:numPr>
          <w:ilvl w:val="0"/>
          <w:numId w:val="2"/>
        </w:numPr>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bookmarkStart w:id="93" w:name="_Toc30908"/>
      <w:r>
        <w:rPr>
          <w:rFonts w:hint="eastAsia" w:ascii="仿宋" w:hAnsi="仿宋" w:eastAsia="仿宋" w:cs="仿宋"/>
          <w:b/>
          <w:sz w:val="36"/>
          <w:szCs w:val="36"/>
          <w:highlight w:val="none"/>
        </w:rPr>
        <w:t>招标项目技术、服务、采购合同内容条款及其他</w:t>
      </w:r>
    </w:p>
    <w:p w14:paraId="4AEA3CB6">
      <w:pPr>
        <w:numPr>
          <w:ilvl w:val="0"/>
          <w:numId w:val="0"/>
        </w:numPr>
        <w:spacing w:line="360" w:lineRule="auto"/>
        <w:ind w:firstLine="3600" w:firstLineChars="1000"/>
        <w:jc w:val="both"/>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商务要求</w:t>
      </w:r>
      <w:bookmarkEnd w:id="93"/>
    </w:p>
    <w:bookmarkEnd w:id="79"/>
    <w:bookmarkEnd w:id="80"/>
    <w:bookmarkEnd w:id="81"/>
    <w:bookmarkEnd w:id="82"/>
    <w:bookmarkEnd w:id="83"/>
    <w:p w14:paraId="40CC3107">
      <w:pPr>
        <w:pStyle w:val="2"/>
        <w:rPr>
          <w:rFonts w:hint="eastAsia" w:ascii="仿宋" w:hAnsi="仿宋" w:eastAsia="仿宋" w:cs="仿宋"/>
          <w:b/>
          <w:bCs/>
          <w:color w:val="auto"/>
          <w:sz w:val="24"/>
          <w:highlight w:val="none"/>
        </w:rPr>
      </w:pPr>
      <w:bookmarkStart w:id="94" w:name="_Toc20053_WPSOffice_Level2"/>
      <w:bookmarkStart w:id="95" w:name="_Toc1792"/>
      <w:bookmarkStart w:id="96" w:name="_Toc217446057"/>
      <w:bookmarkStart w:id="97" w:name="_Toc183582232"/>
      <w:bookmarkStart w:id="98" w:name="_Toc183682369"/>
      <w:r>
        <w:rPr>
          <w:rFonts w:hint="eastAsia" w:ascii="仿宋" w:hAnsi="仿宋" w:eastAsia="仿宋" w:cs="仿宋"/>
          <w:b/>
          <w:bCs/>
          <w:color w:val="auto"/>
          <w:sz w:val="24"/>
          <w:highlight w:val="none"/>
        </w:rPr>
        <w:t>（一）、项目基本情况：</w:t>
      </w:r>
      <w:bookmarkEnd w:id="94"/>
    </w:p>
    <w:p w14:paraId="78107679">
      <w:pPr>
        <w:kinsoku w:val="0"/>
        <w:overflowPunct w:val="0"/>
        <w:autoSpaceDE w:val="0"/>
        <w:autoSpaceDN w:val="0"/>
        <w:snapToGrid w:val="0"/>
        <w:spacing w:line="360" w:lineRule="auto"/>
        <w:ind w:firstLine="480" w:firstLineChars="200"/>
        <w:jc w:val="left"/>
        <w:rPr>
          <w:rFonts w:hint="eastAsia" w:ascii="仿宋" w:hAnsi="仿宋" w:eastAsia="仿宋" w:cs="仿宋"/>
          <w:b/>
          <w:bCs/>
          <w:color w:val="000000"/>
          <w:kern w:val="0"/>
          <w:sz w:val="24"/>
          <w:szCs w:val="24"/>
          <w:highlight w:val="none"/>
          <w:lang w:val="en-US" w:eastAsia="zh-CN" w:bidi="ar"/>
        </w:rPr>
      </w:pPr>
      <w:bookmarkStart w:id="99" w:name="_Toc1746_WPSOffice_Level2"/>
      <w:r>
        <w:rPr>
          <w:rFonts w:hint="eastAsia" w:ascii="仿宋" w:hAnsi="仿宋" w:eastAsia="仿宋" w:cs="仿宋"/>
          <w:b w:val="0"/>
          <w:bCs w:val="0"/>
          <w:color w:val="000000"/>
          <w:kern w:val="0"/>
          <w:sz w:val="24"/>
          <w:szCs w:val="24"/>
          <w:highlight w:val="none"/>
          <w:lang w:val="en-US" w:eastAsia="zh-CN" w:bidi="ar"/>
        </w:rPr>
        <w:t>本项目为富顺县中医医院2025年第三批医疗耗材采购项目，预算金额：</w:t>
      </w:r>
      <w:r>
        <w:rPr>
          <w:rFonts w:hint="eastAsia" w:ascii="仿宋" w:hAnsi="仿宋" w:eastAsia="仿宋" w:cs="仿宋"/>
          <w:sz w:val="24"/>
          <w:szCs w:val="24"/>
          <w:highlight w:val="none"/>
          <w:lang w:val="en-US" w:eastAsia="zh-CN"/>
        </w:rPr>
        <w:t>1383943.52元（大写：壹佰叁拾捌万叁仟玖佰肆拾叁元伍角贰分）</w:t>
      </w:r>
      <w:r>
        <w:rPr>
          <w:rFonts w:hint="eastAsia" w:ascii="仿宋" w:hAnsi="仿宋" w:eastAsia="仿宋" w:cs="仿宋"/>
          <w:b w:val="0"/>
          <w:bCs w:val="0"/>
          <w:color w:val="000000"/>
          <w:kern w:val="0"/>
          <w:sz w:val="24"/>
          <w:szCs w:val="24"/>
          <w:highlight w:val="none"/>
          <w:lang w:val="en-US" w:eastAsia="zh-CN" w:bidi="ar"/>
        </w:rPr>
        <w:t>。</w:t>
      </w:r>
    </w:p>
    <w:p w14:paraId="51D7D7D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000000"/>
          <w:kern w:val="0"/>
          <w:sz w:val="24"/>
          <w:szCs w:val="24"/>
          <w:highlight w:val="none"/>
          <w:lang w:val="en-US" w:eastAsia="zh-CN" w:bidi="ar"/>
        </w:rPr>
        <w:t>（二）、</w:t>
      </w:r>
      <w:bookmarkEnd w:id="99"/>
      <w:r>
        <w:rPr>
          <w:rFonts w:hint="eastAsia" w:ascii="仿宋" w:hAnsi="仿宋" w:eastAsia="仿宋" w:cs="仿宋"/>
          <w:b/>
          <w:bCs/>
          <w:color w:val="000000"/>
          <w:kern w:val="0"/>
          <w:sz w:val="24"/>
          <w:szCs w:val="24"/>
          <w:highlight w:val="none"/>
          <w:lang w:val="en-US" w:eastAsia="zh-CN" w:bidi="ar"/>
        </w:rPr>
        <w:t xml:space="preserve">项目清单及技术参数要求 </w:t>
      </w:r>
      <w:bookmarkStart w:id="100" w:name="OLE_LINK14"/>
      <w:r>
        <w:rPr>
          <w:rFonts w:hint="eastAsia" w:ascii="仿宋" w:hAnsi="仿宋" w:eastAsia="仿宋" w:cs="仿宋"/>
          <w:b/>
          <w:bCs/>
          <w:color w:val="000000"/>
          <w:kern w:val="0"/>
          <w:sz w:val="24"/>
          <w:szCs w:val="24"/>
          <w:highlight w:val="none"/>
          <w:lang w:val="en-US" w:eastAsia="zh-CN" w:bidi="ar"/>
        </w:rPr>
        <w:t>（实质性要求）</w:t>
      </w:r>
      <w:bookmarkEnd w:id="100"/>
    </w:p>
    <w:p w14:paraId="527D8436">
      <w:pPr>
        <w:pStyle w:val="2"/>
        <w:ind w:firstLine="480" w:firstLineChars="200"/>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rPr>
        <w:t>项目清单及技术要求</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各包详见附件。</w:t>
      </w:r>
    </w:p>
    <w:p w14:paraId="4B4D1D9F">
      <w:pPr>
        <w:pStyle w:val="2"/>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商务要求</w:t>
      </w:r>
      <w:r>
        <w:rPr>
          <w:rFonts w:hint="eastAsia" w:ascii="仿宋" w:hAnsi="仿宋" w:eastAsia="仿宋" w:cs="仿宋"/>
          <w:b/>
          <w:bCs/>
          <w:color w:val="000000"/>
          <w:kern w:val="0"/>
          <w:sz w:val="24"/>
          <w:szCs w:val="24"/>
          <w:highlight w:val="none"/>
          <w:lang w:val="en-US" w:eastAsia="zh-CN" w:bidi="ar"/>
        </w:rPr>
        <w:t>（实质性要求）</w:t>
      </w:r>
      <w:r>
        <w:rPr>
          <w:rFonts w:hint="eastAsia" w:ascii="仿宋" w:hAnsi="仿宋" w:eastAsia="仿宋" w:cs="仿宋"/>
          <w:b/>
          <w:bCs/>
          <w:color w:val="auto"/>
          <w:sz w:val="24"/>
          <w:szCs w:val="24"/>
          <w:highlight w:val="none"/>
        </w:rPr>
        <w:t>：</w:t>
      </w:r>
    </w:p>
    <w:p w14:paraId="35A84650">
      <w:pPr>
        <w:pStyle w:val="3"/>
        <w:pageBreakBefore w:val="0"/>
        <w:kinsoku/>
        <w:wordWrap/>
        <w:overflowPunct/>
        <w:topLinePunct w:val="0"/>
        <w:bidi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1、投标人需提供全面、合格的货物:投标人提供的货物必须符合已颁布的中国国家标准或国际标准的有关条款。 </w:t>
      </w:r>
    </w:p>
    <w:p w14:paraId="5920BE6C">
      <w:pPr>
        <w:pStyle w:val="3"/>
        <w:pageBreakBefore w:val="0"/>
        <w:kinsoku/>
        <w:wordWrap/>
        <w:overflowPunct/>
        <w:topLinePunct w:val="0"/>
        <w:bidi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1.1、挂网耗材必须在</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四川医保平台子系统</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药品和医用耗材招采管理系统”</w:t>
      </w:r>
      <w:r>
        <w:rPr>
          <w:rFonts w:hint="eastAsia" w:ascii="仿宋" w:hAnsi="仿宋" w:eastAsia="仿宋" w:cs="仿宋"/>
          <w:sz w:val="24"/>
          <w:szCs w:val="24"/>
        </w:rPr>
        <w:t>获得配送</w:t>
      </w:r>
      <w:r>
        <w:rPr>
          <w:rFonts w:hint="eastAsia" w:ascii="仿宋" w:hAnsi="仿宋" w:eastAsia="仿宋" w:cs="仿宋"/>
          <w:sz w:val="24"/>
          <w:szCs w:val="24"/>
          <w:lang w:eastAsia="zh-CN"/>
        </w:rPr>
        <w:t>资格，如在采购时无法完成挂网配送将自动终止合同。挂网品种根据“药品和医用耗材招采管理系统”目录动态调整，以每月实际采购下订单目录为准。</w:t>
      </w:r>
      <w:r>
        <w:rPr>
          <w:rFonts w:hint="eastAsia" w:ascii="仿宋" w:hAnsi="仿宋" w:eastAsia="仿宋" w:cs="仿宋"/>
          <w:sz w:val="24"/>
          <w:szCs w:val="24"/>
        </w:rPr>
        <w:t>（</w:t>
      </w:r>
      <w:r>
        <w:rPr>
          <w:rFonts w:hint="eastAsia" w:ascii="仿宋" w:hAnsi="仿宋" w:eastAsia="仿宋" w:cs="仿宋"/>
          <w:sz w:val="24"/>
          <w:szCs w:val="24"/>
          <w:highlight w:val="yellow"/>
          <w:lang w:eastAsia="zh-CN"/>
        </w:rPr>
        <w:t>必须提供相应产品能获得配送权的承诺函，</w:t>
      </w:r>
      <w:r>
        <w:rPr>
          <w:rFonts w:hint="eastAsia" w:ascii="仿宋" w:hAnsi="仿宋" w:eastAsia="仿宋" w:cs="仿宋"/>
          <w:sz w:val="24"/>
          <w:szCs w:val="24"/>
          <w:highlight w:val="yellow"/>
        </w:rPr>
        <w:t>格式自拟</w:t>
      </w:r>
      <w:r>
        <w:rPr>
          <w:rFonts w:hint="eastAsia" w:ascii="仿宋" w:hAnsi="仿宋" w:eastAsia="仿宋" w:cs="仿宋"/>
          <w:sz w:val="24"/>
          <w:szCs w:val="24"/>
        </w:rPr>
        <w:t>）；</w:t>
      </w:r>
    </w:p>
    <w:p w14:paraId="5D24A883">
      <w:pPr>
        <w:pStyle w:val="3"/>
        <w:pageBreakBefore w:val="0"/>
        <w:kinsoku/>
        <w:wordWrap/>
        <w:overflowPunct/>
        <w:topLinePunct w:val="0"/>
        <w:bidi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1.2、如产品出现了降价的情况配送供应商必须执行新价格（</w:t>
      </w:r>
      <w:r>
        <w:rPr>
          <w:rFonts w:hint="eastAsia" w:ascii="仿宋" w:hAnsi="仿宋" w:eastAsia="仿宋" w:cs="仿宋"/>
          <w:sz w:val="24"/>
          <w:szCs w:val="24"/>
          <w:highlight w:val="yellow"/>
        </w:rPr>
        <w:t>提供承诺函，格式自拟</w:t>
      </w:r>
      <w:r>
        <w:rPr>
          <w:rFonts w:hint="eastAsia" w:ascii="仿宋" w:hAnsi="仿宋" w:eastAsia="仿宋" w:cs="仿宋"/>
          <w:sz w:val="24"/>
          <w:szCs w:val="24"/>
        </w:rPr>
        <w:t>）；</w:t>
      </w:r>
    </w:p>
    <w:p w14:paraId="68EA02D1">
      <w:pPr>
        <w:pStyle w:val="3"/>
        <w:pageBreakBefore w:val="0"/>
        <w:kinsoku/>
        <w:wordWrap/>
        <w:overflowPunct/>
        <w:topLinePunct w:val="0"/>
        <w:bidi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1.3、采购价不得高于</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四川医保平台子系统</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药品和医用耗材招采管理系统</w:t>
      </w:r>
      <w:r>
        <w:rPr>
          <w:rFonts w:hint="eastAsia" w:ascii="仿宋" w:hAnsi="仿宋" w:eastAsia="仿宋" w:cs="仿宋"/>
          <w:sz w:val="24"/>
          <w:szCs w:val="24"/>
          <w:highlight w:val="none"/>
        </w:rPr>
        <w:t>”中的“我省最高参考价”、“联动参考价”、“截止上月末全省医疗机构采</w:t>
      </w:r>
      <w:r>
        <w:rPr>
          <w:rFonts w:hint="eastAsia" w:ascii="仿宋" w:hAnsi="仿宋" w:eastAsia="仿宋" w:cs="仿宋"/>
          <w:sz w:val="24"/>
          <w:szCs w:val="24"/>
        </w:rPr>
        <w:t>购加权平均价”等价格 ，中标供应商无条件执行价格政策，并在四川药械采购网上进行价格确认生成订单，</w:t>
      </w:r>
      <w:r>
        <w:rPr>
          <w:rFonts w:hint="eastAsia" w:ascii="仿宋" w:hAnsi="仿宋" w:eastAsia="仿宋" w:cs="仿宋"/>
          <w:color w:val="auto"/>
          <w:sz w:val="24"/>
          <w:szCs w:val="24"/>
          <w:lang w:eastAsia="zh-CN"/>
        </w:rPr>
        <w:t>中标供应商无条件执行价格政策，出现了降价的情况配送供应商必须执行新价格，不得以任何理由不</w:t>
      </w:r>
      <w:r>
        <w:rPr>
          <w:rFonts w:hint="eastAsia" w:ascii="仿宋" w:hAnsi="仿宋" w:eastAsia="仿宋" w:cs="仿宋"/>
          <w:sz w:val="24"/>
          <w:szCs w:val="24"/>
          <w:lang w:eastAsia="zh-CN"/>
        </w:rPr>
        <w:t>供货。</w:t>
      </w:r>
      <w:r>
        <w:rPr>
          <w:rFonts w:hint="eastAsia" w:ascii="仿宋" w:hAnsi="仿宋" w:eastAsia="仿宋" w:cs="仿宋"/>
          <w:sz w:val="24"/>
          <w:szCs w:val="24"/>
        </w:rPr>
        <w:t>中标供应商如不执行</w:t>
      </w:r>
      <w:r>
        <w:rPr>
          <w:rFonts w:hint="eastAsia" w:ascii="仿宋" w:hAnsi="仿宋" w:eastAsia="仿宋" w:cs="仿宋"/>
          <w:sz w:val="24"/>
          <w:szCs w:val="24"/>
          <w:lang w:eastAsia="zh-CN"/>
        </w:rPr>
        <w:t>，</w:t>
      </w:r>
      <w:r>
        <w:rPr>
          <w:rFonts w:hint="eastAsia" w:ascii="仿宋" w:hAnsi="仿宋" w:eastAsia="仿宋" w:cs="仿宋"/>
          <w:sz w:val="24"/>
          <w:szCs w:val="24"/>
        </w:rPr>
        <w:t>我院有权终止合同；（提供承诺函，格式自拟）</w:t>
      </w:r>
    </w:p>
    <w:p w14:paraId="7A60DF10">
      <w:pPr>
        <w:pStyle w:val="3"/>
        <w:pageBreakBefore w:val="0"/>
        <w:kinsoku/>
        <w:wordWrap/>
        <w:overflowPunct/>
        <w:topLinePunct w:val="0"/>
        <w:bidi w:val="0"/>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1.5</w:t>
      </w:r>
      <w:r>
        <w:rPr>
          <w:rFonts w:hint="eastAsia" w:ascii="仿宋" w:hAnsi="仿宋" w:eastAsia="仿宋" w:cs="仿宋"/>
          <w:sz w:val="24"/>
          <w:szCs w:val="24"/>
          <w:lang w:eastAsia="zh-CN"/>
        </w:rPr>
        <w:t>、挂网品种根据“药品和医用耗材招采管理系统”目录动态调整，以每月实际采购下订单目录为准。</w:t>
      </w:r>
    </w:p>
    <w:p w14:paraId="3F1B7743">
      <w:pPr>
        <w:pStyle w:val="3"/>
        <w:pageBreakBefore w:val="0"/>
        <w:kinsoku/>
        <w:wordWrap/>
        <w:overflowPunct/>
        <w:topLinePunct w:val="0"/>
        <w:bidi w:val="0"/>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rPr>
        <w:t xml:space="preserve"> 1.</w:t>
      </w:r>
      <w:r>
        <w:rPr>
          <w:rFonts w:hint="eastAsia" w:ascii="仿宋" w:hAnsi="仿宋" w:eastAsia="仿宋" w:cs="仿宋"/>
          <w:sz w:val="24"/>
          <w:szCs w:val="24"/>
          <w:lang w:val="en-US" w:eastAsia="zh-CN"/>
        </w:rPr>
        <w:t>6</w:t>
      </w:r>
      <w:r>
        <w:rPr>
          <w:rFonts w:hint="eastAsia" w:ascii="仿宋" w:hAnsi="仿宋" w:eastAsia="仿宋" w:cs="仿宋"/>
          <w:sz w:val="24"/>
          <w:szCs w:val="24"/>
        </w:rPr>
        <w:t>、所有采购产品，出现国家集采范围内，进入国家集采范围内的产品自动中止采购，执行国家集采相关政策</w:t>
      </w:r>
      <w:r>
        <w:rPr>
          <w:rFonts w:hint="eastAsia" w:ascii="仿宋" w:hAnsi="仿宋" w:eastAsia="仿宋" w:cs="仿宋"/>
          <w:sz w:val="24"/>
          <w:szCs w:val="24"/>
          <w:lang w:eastAsia="zh-CN"/>
        </w:rPr>
        <w:t>。</w:t>
      </w:r>
    </w:p>
    <w:p w14:paraId="37B2D7A0">
      <w:pPr>
        <w:pStyle w:val="3"/>
        <w:pageBreakBefore w:val="0"/>
        <w:kinsoku/>
        <w:wordWrap/>
        <w:overflowPunct/>
        <w:topLinePunct w:val="0"/>
        <w:bidi w:val="0"/>
        <w:spacing w:line="360" w:lineRule="auto"/>
        <w:ind w:firstLine="480" w:firstLineChars="200"/>
        <w:jc w:val="left"/>
        <w:rPr>
          <w:rFonts w:hint="eastAsia" w:ascii="仿宋" w:hAnsi="仿宋" w:eastAsia="仿宋" w:cs="仿宋"/>
          <w:sz w:val="24"/>
          <w:szCs w:val="24"/>
          <w:highlight w:val="yellow"/>
          <w:lang w:val="en-US" w:eastAsia="zh-CN"/>
        </w:rPr>
      </w:pPr>
      <w:r>
        <w:rPr>
          <w:rFonts w:hint="eastAsia" w:ascii="仿宋" w:hAnsi="仿宋" w:eastAsia="仿宋" w:cs="仿宋"/>
          <w:sz w:val="24"/>
          <w:szCs w:val="24"/>
          <w:highlight w:val="yellow"/>
          <w:lang w:val="en-US" w:eastAsia="zh-CN"/>
        </w:rPr>
        <w:t>1.7、</w:t>
      </w:r>
      <w:r>
        <w:rPr>
          <w:rFonts w:hint="eastAsia" w:ascii="仿宋" w:hAnsi="仿宋" w:eastAsia="仿宋" w:cs="仿宋"/>
          <w:sz w:val="24"/>
          <w:szCs w:val="24"/>
          <w:highlight w:val="yellow"/>
        </w:rPr>
        <w:t>所有采购产品，</w:t>
      </w:r>
      <w:r>
        <w:rPr>
          <w:rFonts w:hint="eastAsia" w:ascii="仿宋" w:hAnsi="仿宋" w:eastAsia="仿宋" w:cs="仿宋"/>
          <w:sz w:val="24"/>
          <w:szCs w:val="24"/>
          <w:highlight w:val="yellow"/>
          <w:lang w:eastAsia="zh-CN"/>
        </w:rPr>
        <w:t>由总院统一采购后合同自动终止，执行总院采购政策。</w:t>
      </w:r>
    </w:p>
    <w:p w14:paraId="31AC1B6A">
      <w:pPr>
        <w:pStyle w:val="3"/>
        <w:pageBreakBefore w:val="0"/>
        <w:kinsoku/>
        <w:wordWrap/>
        <w:overflowPunct/>
        <w:topLinePunct w:val="0"/>
        <w:bidi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2、中标后签合同之前提供样品到使用科室，确定参数要求是否满足。</w:t>
      </w:r>
      <w:r>
        <w:rPr>
          <w:rFonts w:hint="eastAsia" w:ascii="仿宋" w:hAnsi="仿宋" w:eastAsia="仿宋" w:cs="仿宋"/>
          <w:sz w:val="24"/>
          <w:szCs w:val="24"/>
          <w:lang w:eastAsia="zh-CN"/>
        </w:rPr>
        <w:t>中</w:t>
      </w:r>
      <w:r>
        <w:rPr>
          <w:rFonts w:hint="eastAsia" w:ascii="仿宋" w:hAnsi="仿宋" w:eastAsia="仿宋" w:cs="仿宋"/>
          <w:sz w:val="24"/>
          <w:szCs w:val="24"/>
        </w:rPr>
        <w:t xml:space="preserve">标人需向采购人提供及时有效的技术支持。 </w:t>
      </w:r>
    </w:p>
    <w:p w14:paraId="259526B4">
      <w:pPr>
        <w:pStyle w:val="3"/>
        <w:pageBreakBefore w:val="0"/>
        <w:kinsoku/>
        <w:wordWrap/>
        <w:overflowPunct/>
        <w:topLinePunct w:val="0"/>
        <w:bidi w:val="0"/>
        <w:spacing w:line="360" w:lineRule="auto"/>
        <w:ind w:left="0" w:leftChars="0" w:firstLine="480" w:firstLineChars="200"/>
        <w:rPr>
          <w:rFonts w:hint="eastAsia" w:ascii="仿宋" w:hAnsi="仿宋" w:eastAsia="仿宋" w:cs="仿宋"/>
          <w:color w:val="auto"/>
          <w:sz w:val="24"/>
          <w:szCs w:val="24"/>
          <w:lang w:eastAsia="zh-CN"/>
        </w:rPr>
      </w:pPr>
      <w:r>
        <w:rPr>
          <w:rFonts w:hint="eastAsia" w:ascii="仿宋" w:hAnsi="仿宋" w:eastAsia="仿宋" w:cs="仿宋"/>
          <w:sz w:val="24"/>
          <w:szCs w:val="24"/>
        </w:rPr>
        <w:t>3、</w:t>
      </w:r>
      <w:r>
        <w:rPr>
          <w:rFonts w:hint="eastAsia" w:ascii="仿宋" w:hAnsi="仿宋" w:eastAsia="仿宋" w:cs="仿宋"/>
          <w:color w:val="auto"/>
          <w:sz w:val="24"/>
          <w:szCs w:val="24"/>
          <w:lang w:eastAsia="zh-CN"/>
        </w:rPr>
        <w:t>本项目各包件清单中列举的物品为采购人主要采购物品（属于预估清单），各包件清单不代表采购的所有内容，投标人在服务期内须根据采购人实际需求提供相应物品，清单中未列举的物品，无参考价格的新进挂网产品，其价格由采购人参照有参考价格的同类产品、按照采购人内部采购管理制度和程序进行确定。</w:t>
      </w:r>
    </w:p>
    <w:p w14:paraId="2B152D94">
      <w:pPr>
        <w:pStyle w:val="3"/>
        <w:pageBreakBefore w:val="0"/>
        <w:kinsoku/>
        <w:wordWrap/>
        <w:overflowPunct/>
        <w:topLinePunct w:val="0"/>
        <w:bidi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 4、中标人配送及时，一般耗材于</w:t>
      </w:r>
      <w:r>
        <w:rPr>
          <w:rFonts w:hint="eastAsia" w:ascii="仿宋" w:hAnsi="仿宋" w:eastAsia="仿宋" w:cs="仿宋"/>
          <w:sz w:val="24"/>
          <w:szCs w:val="24"/>
          <w:highlight w:val="none"/>
        </w:rPr>
        <w:t>2天内</w:t>
      </w:r>
      <w:r>
        <w:rPr>
          <w:rFonts w:hint="eastAsia" w:ascii="仿宋" w:hAnsi="仿宋" w:eastAsia="仿宋" w:cs="仿宋"/>
          <w:sz w:val="24"/>
          <w:szCs w:val="24"/>
        </w:rPr>
        <w:t>送达，急用耗材应根据需要按时送达。</w:t>
      </w:r>
      <w:r>
        <w:rPr>
          <w:rFonts w:hint="eastAsia" w:ascii="仿宋" w:hAnsi="仿宋" w:eastAsia="仿宋" w:cs="仿宋"/>
          <w:sz w:val="24"/>
          <w:szCs w:val="24"/>
          <w:highlight w:val="yellow"/>
        </w:rPr>
        <w:t>（投标人需在售后服务承诺书中明确表述）</w:t>
      </w:r>
      <w:r>
        <w:rPr>
          <w:rFonts w:hint="eastAsia" w:ascii="仿宋" w:hAnsi="仿宋" w:eastAsia="仿宋" w:cs="仿宋"/>
          <w:sz w:val="24"/>
          <w:szCs w:val="24"/>
        </w:rPr>
        <w:t xml:space="preserve">。 </w:t>
      </w:r>
    </w:p>
    <w:p w14:paraId="224910DD">
      <w:pPr>
        <w:pStyle w:val="3"/>
        <w:pageBreakBefore w:val="0"/>
        <w:kinsoku/>
        <w:wordWrap/>
        <w:overflowPunct/>
        <w:topLinePunct w:val="0"/>
        <w:bidi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5、产品质保期：≥1 年（招标文件技术要求另有规定的按技术要求相关规定执行）。产品在使用前若发现有质量问题，应及时免费更换。对合同执行期间产品有效期低于 6 个月的货物中标人应免费更换。其他质量问题在采购合同中约束。</w:t>
      </w:r>
    </w:p>
    <w:p w14:paraId="59381581">
      <w:pPr>
        <w:pStyle w:val="3"/>
        <w:pageBreakBefore w:val="0"/>
        <w:kinsoku/>
        <w:wordWrap/>
        <w:overflowPunct/>
        <w:topLinePunct w:val="0"/>
        <w:bidi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6、供货期限：合同签订生效后 </w:t>
      </w:r>
      <w:r>
        <w:rPr>
          <w:rFonts w:hint="eastAsia" w:ascii="仿宋" w:hAnsi="仿宋" w:eastAsia="仿宋" w:cs="仿宋"/>
          <w:sz w:val="24"/>
          <w:szCs w:val="24"/>
          <w:lang w:val="en-US" w:eastAsia="zh-CN"/>
        </w:rPr>
        <w:t>2</w:t>
      </w:r>
      <w:r>
        <w:rPr>
          <w:rFonts w:hint="eastAsia" w:ascii="仿宋" w:hAnsi="仿宋" w:eastAsia="仿宋" w:cs="仿宋"/>
          <w:sz w:val="24"/>
          <w:szCs w:val="24"/>
        </w:rPr>
        <w:t>年（具体起止时间以合同约定为准，供货时间及质量符合招标文件要求及投标文件承诺的，中标人3次未及时供货或产品质量不合格的，采购方可自动取消其中标资格，并取消其供货合同）。实际采购金额以中标单价和实际发生的数量结算。</w:t>
      </w:r>
    </w:p>
    <w:p w14:paraId="00D5B8A3">
      <w:pPr>
        <w:pStyle w:val="3"/>
        <w:pageBreakBefore w:val="0"/>
        <w:kinsoku/>
        <w:wordWrap/>
        <w:overflowPunct/>
        <w:topLinePunct w:val="0"/>
        <w:bidi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lang w:eastAsia="zh-CN"/>
        </w:rPr>
        <w:t>支付</w:t>
      </w:r>
      <w:r>
        <w:rPr>
          <w:rFonts w:hint="eastAsia" w:ascii="仿宋" w:hAnsi="仿宋" w:eastAsia="仿宋" w:cs="仿宋"/>
          <w:sz w:val="24"/>
          <w:szCs w:val="24"/>
        </w:rPr>
        <w:t xml:space="preserve">方式: </w:t>
      </w:r>
    </w:p>
    <w:p w14:paraId="7AC8ABB6">
      <w:pPr>
        <w:pStyle w:val="3"/>
        <w:pageBreakBefore w:val="0"/>
        <w:kinsoku/>
        <w:wordWrap/>
        <w:overflowPunct/>
        <w:topLinePunct w:val="0"/>
        <w:bidi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7.1 最终采购量以实际需求采购量为准，最终结算金额以中标单价和实际发生的数量结算，按月据实结算（每月供货量经双方确认）并开具完整有效的票据，以票据为准实行滚动付款。 </w:t>
      </w:r>
    </w:p>
    <w:p w14:paraId="4D844416">
      <w:pPr>
        <w:pStyle w:val="3"/>
        <w:pageBreakBefore w:val="0"/>
        <w:kinsoku/>
        <w:wordWrap/>
        <w:overflowPunct/>
        <w:topLinePunct w:val="0"/>
        <w:bidi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7.2 配送履约期间，如因疫情变动或政策调整等不可抗拒因素导致价格变动较大的，双方另行约定。</w:t>
      </w:r>
    </w:p>
    <w:p w14:paraId="5CE782A8">
      <w:pPr>
        <w:pStyle w:val="3"/>
        <w:pageBreakBefore w:val="0"/>
        <w:kinsoku/>
        <w:wordWrap/>
        <w:overflowPunct/>
        <w:topLinePunct w:val="0"/>
        <w:bidi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7.3 本采购项目明细各单项均设预算单价，单项预算单价详见明细表。投标人必须对各项单价进行报价，且不得高于各项预算单价。单项单价超过预算单价的供货商的报价视为无效投标。 </w:t>
      </w:r>
    </w:p>
    <w:p w14:paraId="30C7261C">
      <w:pPr>
        <w:pStyle w:val="3"/>
        <w:pageBreakBefore w:val="0"/>
        <w:kinsoku/>
        <w:wordWrap/>
        <w:overflowPunct/>
        <w:topLinePunct w:val="0"/>
        <w:bidi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8、交货地点：富顺县中医医院指定地点。 </w:t>
      </w:r>
    </w:p>
    <w:p w14:paraId="6B69FB48">
      <w:pPr>
        <w:pStyle w:val="3"/>
        <w:pageBreakBefore w:val="0"/>
        <w:kinsoku/>
        <w:wordWrap/>
        <w:overflowPunct/>
        <w:topLinePunct w:val="0"/>
        <w:bidi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9、质量保证</w:t>
      </w:r>
    </w:p>
    <w:p w14:paraId="13A1264A">
      <w:pPr>
        <w:pStyle w:val="3"/>
        <w:pageBreakBefore w:val="0"/>
        <w:kinsoku/>
        <w:wordWrap/>
        <w:overflowPunct/>
        <w:topLinePunct w:val="0"/>
        <w:bidi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9.1 中标人保证所提供的产品质量，如出现产品质量问题中标人应负责退换。对合同执行期间产品有效期低于 6 个月的货物中标人应免费更换。由于产品质量问题引起的医疗事故均由中标人承担相应责任。 </w:t>
      </w:r>
    </w:p>
    <w:p w14:paraId="69F35E01">
      <w:pPr>
        <w:pStyle w:val="3"/>
        <w:pageBreakBefore w:val="0"/>
        <w:kinsoku/>
        <w:wordWrap/>
        <w:overflowPunct/>
        <w:topLinePunct w:val="0"/>
        <w:bidi w:val="0"/>
        <w:spacing w:line="360" w:lineRule="auto"/>
        <w:ind w:firstLine="480" w:firstLineChars="200"/>
        <w:jc w:val="left"/>
        <w:rPr>
          <w:rFonts w:hint="eastAsia" w:ascii="仿宋" w:hAnsi="仿宋" w:eastAsia="仿宋" w:cs="仿宋"/>
          <w:strike w:val="0"/>
          <w:dstrike w:val="0"/>
          <w:color w:val="0000FF"/>
          <w:sz w:val="24"/>
          <w:szCs w:val="24"/>
          <w:highlight w:val="yellow"/>
        </w:rPr>
      </w:pPr>
      <w:r>
        <w:rPr>
          <w:rFonts w:hint="eastAsia" w:ascii="仿宋" w:hAnsi="仿宋" w:eastAsia="仿宋" w:cs="仿宋"/>
          <w:sz w:val="24"/>
          <w:szCs w:val="24"/>
        </w:rPr>
        <w:t xml:space="preserve">9.2 </w:t>
      </w:r>
      <w:r>
        <w:rPr>
          <w:rFonts w:hint="eastAsia" w:ascii="仿宋" w:hAnsi="仿宋" w:eastAsia="仿宋" w:cs="仿宋"/>
          <w:strike w:val="0"/>
          <w:dstrike w:val="0"/>
          <w:color w:val="0000FF"/>
          <w:sz w:val="24"/>
          <w:szCs w:val="24"/>
          <w:highlight w:val="yellow"/>
          <w:u w:val="none"/>
        </w:rPr>
        <w:t xml:space="preserve"> 中标人所供货物适用于临床，如临床在使用过程出现</w:t>
      </w:r>
      <w:r>
        <w:rPr>
          <w:rFonts w:hint="eastAsia" w:ascii="仿宋" w:hAnsi="仿宋" w:eastAsia="仿宋" w:cs="仿宋"/>
          <w:strike w:val="0"/>
          <w:dstrike w:val="0"/>
          <w:color w:val="0000FF"/>
          <w:sz w:val="24"/>
          <w:szCs w:val="24"/>
          <w:highlight w:val="yellow"/>
          <w:u w:val="none"/>
          <w:lang w:eastAsia="zh-CN"/>
        </w:rPr>
        <w:t>不良事件</w:t>
      </w:r>
      <w:r>
        <w:rPr>
          <w:rFonts w:hint="eastAsia" w:ascii="仿宋" w:hAnsi="仿宋" w:eastAsia="仿宋" w:cs="仿宋"/>
          <w:strike w:val="0"/>
          <w:dstrike w:val="0"/>
          <w:color w:val="0000FF"/>
          <w:sz w:val="24"/>
          <w:szCs w:val="24"/>
          <w:highlight w:val="yellow"/>
          <w:u w:val="none"/>
        </w:rPr>
        <w:t>的情况，</w:t>
      </w:r>
      <w:r>
        <w:rPr>
          <w:rFonts w:hint="eastAsia" w:ascii="仿宋" w:hAnsi="仿宋" w:eastAsia="仿宋" w:cs="仿宋"/>
          <w:strike w:val="0"/>
          <w:dstrike w:val="0"/>
          <w:color w:val="0000FF"/>
          <w:sz w:val="24"/>
          <w:szCs w:val="24"/>
          <w:highlight w:val="yellow"/>
        </w:rPr>
        <w:t>中标人为采购人更换</w:t>
      </w:r>
      <w:r>
        <w:rPr>
          <w:rFonts w:hint="eastAsia" w:ascii="仿宋" w:hAnsi="仿宋" w:eastAsia="仿宋" w:cs="仿宋"/>
          <w:strike w:val="0"/>
          <w:dstrike w:val="0"/>
          <w:color w:val="0000FF"/>
          <w:sz w:val="24"/>
          <w:szCs w:val="24"/>
          <w:highlight w:val="yellow"/>
          <w:lang w:eastAsia="zh-CN"/>
        </w:rPr>
        <w:t>相应的产品</w:t>
      </w:r>
      <w:r>
        <w:rPr>
          <w:rFonts w:hint="eastAsia" w:ascii="仿宋" w:hAnsi="仿宋" w:eastAsia="仿宋" w:cs="仿宋"/>
          <w:strike w:val="0"/>
          <w:dstrike w:val="0"/>
          <w:color w:val="0000FF"/>
          <w:sz w:val="24"/>
          <w:szCs w:val="24"/>
          <w:highlight w:val="yellow"/>
        </w:rPr>
        <w:t>，如更换 2 次仍不能达到临床要求，则中标人在</w:t>
      </w:r>
      <w:r>
        <w:rPr>
          <w:rFonts w:hint="eastAsia" w:ascii="仿宋" w:hAnsi="仿宋" w:eastAsia="仿宋" w:cs="仿宋"/>
          <w:strike w:val="0"/>
          <w:dstrike w:val="0"/>
          <w:color w:val="0000FF"/>
          <w:sz w:val="24"/>
          <w:szCs w:val="24"/>
          <w:highlight w:val="yellow"/>
          <w:lang w:eastAsia="zh-CN"/>
        </w:rPr>
        <w:t>不高于</w:t>
      </w:r>
      <w:r>
        <w:rPr>
          <w:rFonts w:hint="eastAsia" w:ascii="仿宋" w:hAnsi="仿宋" w:eastAsia="仿宋" w:cs="仿宋"/>
          <w:strike w:val="0"/>
          <w:dstrike w:val="0"/>
          <w:color w:val="0000FF"/>
          <w:sz w:val="24"/>
          <w:szCs w:val="24"/>
          <w:highlight w:val="yellow"/>
        </w:rPr>
        <w:t>合同</w:t>
      </w:r>
      <w:r>
        <w:rPr>
          <w:rFonts w:hint="eastAsia" w:ascii="仿宋" w:hAnsi="仿宋" w:eastAsia="仿宋" w:cs="仿宋"/>
          <w:strike w:val="0"/>
          <w:dstrike w:val="0"/>
          <w:color w:val="0000FF"/>
          <w:sz w:val="24"/>
          <w:szCs w:val="24"/>
          <w:highlight w:val="yellow"/>
          <w:lang w:eastAsia="zh-CN"/>
        </w:rPr>
        <w:t>单价</w:t>
      </w:r>
      <w:r>
        <w:rPr>
          <w:rFonts w:hint="eastAsia" w:ascii="仿宋" w:hAnsi="仿宋" w:eastAsia="仿宋" w:cs="仿宋"/>
          <w:strike w:val="0"/>
          <w:dstrike w:val="0"/>
          <w:color w:val="0000FF"/>
          <w:sz w:val="24"/>
          <w:szCs w:val="24"/>
          <w:highlight w:val="yellow"/>
        </w:rPr>
        <w:t>的前提下为采购人提供</w:t>
      </w:r>
      <w:r>
        <w:rPr>
          <w:rFonts w:hint="eastAsia" w:ascii="仿宋" w:hAnsi="仿宋" w:eastAsia="仿宋" w:cs="仿宋"/>
          <w:strike w:val="0"/>
          <w:dstrike w:val="0"/>
          <w:color w:val="0000FF"/>
          <w:sz w:val="24"/>
          <w:szCs w:val="24"/>
          <w:highlight w:val="yellow"/>
          <w:lang w:eastAsia="zh-CN"/>
        </w:rPr>
        <w:t>合格产品</w:t>
      </w:r>
      <w:r>
        <w:rPr>
          <w:rFonts w:hint="eastAsia" w:ascii="仿宋" w:hAnsi="仿宋" w:eastAsia="仿宋" w:cs="仿宋"/>
          <w:strike w:val="0"/>
          <w:dstrike w:val="0"/>
          <w:color w:val="0000FF"/>
          <w:sz w:val="24"/>
          <w:szCs w:val="24"/>
          <w:highlight w:val="yellow"/>
        </w:rPr>
        <w:t>。</w:t>
      </w:r>
    </w:p>
    <w:p w14:paraId="40980C24">
      <w:pPr>
        <w:pStyle w:val="3"/>
        <w:pageBreakBefore w:val="0"/>
        <w:kinsoku/>
        <w:wordWrap/>
        <w:overflowPunct/>
        <w:topLinePunct w:val="0"/>
        <w:bidi w:val="0"/>
        <w:spacing w:line="360" w:lineRule="auto"/>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9.3</w:t>
      </w:r>
      <w:r>
        <w:rPr>
          <w:rFonts w:hint="eastAsia" w:ascii="仿宋" w:hAnsi="仿宋" w:eastAsia="仿宋" w:cs="仿宋"/>
          <w:sz w:val="24"/>
          <w:szCs w:val="24"/>
          <w:lang w:eastAsia="zh-CN"/>
        </w:rPr>
        <w:t>、检验试剂需提供性能验证服务包含试剂及工程师，且通过性能验证后才能投入临床使用。</w:t>
      </w:r>
    </w:p>
    <w:p w14:paraId="436C8C4E">
      <w:pPr>
        <w:pStyle w:val="3"/>
        <w:pageBreakBefore w:val="0"/>
        <w:kinsoku/>
        <w:wordWrap/>
        <w:overflowPunct/>
        <w:topLinePunct w:val="0"/>
        <w:bidi w:val="0"/>
        <w:spacing w:line="360" w:lineRule="auto"/>
        <w:ind w:firstLine="480" w:firstLineChars="200"/>
        <w:jc w:val="left"/>
        <w:rPr>
          <w:rFonts w:hint="eastAsia" w:ascii="仿宋" w:hAnsi="仿宋" w:eastAsia="仿宋" w:cs="仿宋"/>
          <w:color w:val="auto"/>
          <w:sz w:val="24"/>
          <w:szCs w:val="24"/>
          <w:lang w:eastAsia="zh-CN"/>
        </w:rPr>
      </w:pPr>
      <w:r>
        <w:rPr>
          <w:rFonts w:hint="eastAsia" w:ascii="仿宋" w:hAnsi="仿宋" w:eastAsia="仿宋" w:cs="仿宋"/>
          <w:sz w:val="24"/>
          <w:szCs w:val="24"/>
          <w:lang w:val="en-US" w:eastAsia="zh-CN"/>
        </w:rPr>
        <w:t>9.4</w:t>
      </w:r>
      <w:r>
        <w:rPr>
          <w:rFonts w:hint="eastAsia" w:ascii="仿宋" w:hAnsi="仿宋" w:eastAsia="仿宋" w:cs="仿宋"/>
          <w:sz w:val="24"/>
          <w:szCs w:val="24"/>
          <w:lang w:eastAsia="zh-CN"/>
        </w:rPr>
        <w:t>、中</w:t>
      </w:r>
      <w:r>
        <w:rPr>
          <w:rFonts w:hint="eastAsia" w:ascii="仿宋" w:hAnsi="仿宋" w:eastAsia="仿宋" w:cs="仿宋"/>
          <w:color w:val="auto"/>
          <w:sz w:val="24"/>
          <w:szCs w:val="24"/>
          <w:lang w:eastAsia="zh-CN"/>
        </w:rPr>
        <w:t>标后签合同之前提供样品到使用科室，确定参数要求是否满足。</w:t>
      </w:r>
    </w:p>
    <w:p w14:paraId="24F3E9D1">
      <w:pPr>
        <w:pStyle w:val="3"/>
        <w:pageBreakBefore w:val="0"/>
        <w:kinsoku/>
        <w:wordWrap/>
        <w:overflowPunct/>
        <w:topLinePunct w:val="0"/>
        <w:bidi w:val="0"/>
        <w:spacing w:line="360" w:lineRule="auto"/>
        <w:ind w:left="0" w:leftChars="0" w:firstLine="480" w:firstLineChars="200"/>
        <w:jc w:val="left"/>
        <w:rPr>
          <w:rFonts w:hint="eastAsia" w:ascii="仿宋" w:hAnsi="仿宋" w:eastAsia="仿宋" w:cs="仿宋"/>
          <w:sz w:val="24"/>
          <w:szCs w:val="24"/>
        </w:rPr>
      </w:pPr>
      <w:r>
        <w:rPr>
          <w:rFonts w:hint="eastAsia" w:ascii="仿宋" w:hAnsi="仿宋" w:eastAsia="仿宋" w:cs="仿宋"/>
          <w:sz w:val="24"/>
          <w:szCs w:val="24"/>
        </w:rPr>
        <w:t>10、验收标准：中标人与采购人应严格按照《财政部关于进一步加强政府采购需求和履约验收管理的指导意见》（财库</w:t>
      </w:r>
      <w:bookmarkStart w:id="101" w:name="OLE_LINK15"/>
      <w:r>
        <w:rPr>
          <w:rFonts w:hint="eastAsia" w:ascii="仿宋" w:hAnsi="仿宋" w:eastAsia="仿宋" w:cs="仿宋"/>
          <w:sz w:val="24"/>
          <w:szCs w:val="24"/>
        </w:rPr>
        <w:t>〔2016〕2</w:t>
      </w:r>
      <w:r>
        <w:rPr>
          <w:rFonts w:hint="eastAsia" w:ascii="仿宋" w:hAnsi="仿宋" w:eastAsia="仿宋" w:cs="仿宋"/>
          <w:sz w:val="24"/>
          <w:szCs w:val="24"/>
          <w:lang w:eastAsia="zh-CN"/>
        </w:rPr>
        <w:t>0</w:t>
      </w:r>
      <w:bookmarkEnd w:id="101"/>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号</w:t>
      </w:r>
      <w:r>
        <w:rPr>
          <w:rFonts w:hint="eastAsia" w:ascii="仿宋" w:hAnsi="仿宋" w:eastAsia="仿宋" w:cs="仿宋"/>
          <w:sz w:val="24"/>
          <w:szCs w:val="24"/>
        </w:rPr>
        <w:t>）的要求和招标文件以及投标文件进行验收。</w:t>
      </w:r>
    </w:p>
    <w:p w14:paraId="2846AB3D">
      <w:pPr>
        <w:pStyle w:val="3"/>
        <w:pageBreakBefore w:val="0"/>
        <w:kinsoku/>
        <w:wordWrap/>
        <w:overflowPunct/>
        <w:topLinePunct w:val="0"/>
        <w:bidi w:val="0"/>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11、售后服务 </w:t>
      </w:r>
    </w:p>
    <w:p w14:paraId="06513A6B">
      <w:pPr>
        <w:pStyle w:val="3"/>
        <w:pageBreakBefore w:val="0"/>
        <w:kinsoku/>
        <w:wordWrap/>
        <w:overflowPunct/>
        <w:topLinePunct w:val="0"/>
        <w:bidi w:val="0"/>
        <w:spacing w:line="360" w:lineRule="auto"/>
        <w:ind w:left="0" w:leftChars="0"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11.1</w:t>
      </w:r>
      <w:r>
        <w:rPr>
          <w:rFonts w:hint="eastAsia" w:ascii="仿宋" w:hAnsi="仿宋" w:eastAsia="仿宋" w:cs="仿宋"/>
          <w:sz w:val="24"/>
          <w:szCs w:val="24"/>
          <w:lang w:eastAsia="zh-CN"/>
        </w:rPr>
        <w:t>、合同协议期限内，供应商根据采购人的具体时间要求进行分批次供货，供应商须按采购人交货要求供货，中标人配送及时，一般耗材于2天内送达，急用耗材应根据需要按时送达。若有需要冷藏的产品需保证冷链运输。</w:t>
      </w:r>
    </w:p>
    <w:p w14:paraId="5ADBA565">
      <w:pPr>
        <w:pStyle w:val="3"/>
        <w:pageBreakBefore w:val="0"/>
        <w:kinsoku/>
        <w:wordWrap/>
        <w:overflowPunct/>
        <w:topLinePunct w:val="0"/>
        <w:bidi w:val="0"/>
        <w:spacing w:line="360" w:lineRule="auto"/>
        <w:ind w:left="0" w:leftChars="0"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11.2</w:t>
      </w:r>
      <w:r>
        <w:rPr>
          <w:rFonts w:hint="eastAsia" w:ascii="仿宋" w:hAnsi="仿宋" w:eastAsia="仿宋" w:cs="仿宋"/>
          <w:sz w:val="24"/>
          <w:szCs w:val="24"/>
          <w:lang w:eastAsia="zh-CN"/>
        </w:rPr>
        <w:t>、供应商对所供医用耗材应充足备货，确保采购人随时需要。供应商知悉本次采购事项发生的背景和环境，合同履行过程中因不可抗力因素和可能面临的外部困难和障碍，供应商对此均有充分的计划和准备，保证及时供货。急诊或急救耗材必须保证下达计划后随时供货，不得因供货不及时影响采购人正常医疗工作。</w:t>
      </w:r>
    </w:p>
    <w:p w14:paraId="5C61FFFF">
      <w:pPr>
        <w:pStyle w:val="3"/>
        <w:pageBreakBefore w:val="0"/>
        <w:kinsoku/>
        <w:wordWrap/>
        <w:overflowPunct/>
        <w:topLinePunct w:val="0"/>
        <w:bidi w:val="0"/>
        <w:spacing w:line="360" w:lineRule="auto"/>
        <w:ind w:left="0" w:leftChars="0"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11.3</w:t>
      </w:r>
      <w:r>
        <w:rPr>
          <w:rFonts w:hint="eastAsia" w:ascii="仿宋" w:hAnsi="仿宋" w:eastAsia="仿宋" w:cs="仿宋"/>
          <w:sz w:val="24"/>
          <w:szCs w:val="24"/>
          <w:lang w:eastAsia="zh-CN"/>
        </w:rPr>
        <w:t>、供应商所供医用耗材送达采购人库房办理验收手续，并在采购人指定位置码放整齐；应急情况例外。</w:t>
      </w:r>
    </w:p>
    <w:p w14:paraId="39CA5BD5">
      <w:pPr>
        <w:pStyle w:val="3"/>
        <w:pageBreakBefore w:val="0"/>
        <w:kinsoku/>
        <w:wordWrap/>
        <w:overflowPunct/>
        <w:topLinePunct w:val="0"/>
        <w:bidi w:val="0"/>
        <w:spacing w:line="360" w:lineRule="auto"/>
        <w:ind w:left="0" w:leftChars="0"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11.4</w:t>
      </w:r>
      <w:r>
        <w:rPr>
          <w:rFonts w:hint="eastAsia" w:ascii="仿宋" w:hAnsi="仿宋" w:eastAsia="仿宋" w:cs="仿宋"/>
          <w:sz w:val="24"/>
          <w:szCs w:val="24"/>
          <w:lang w:eastAsia="zh-CN"/>
        </w:rPr>
        <w:t>、在实际使用过程中如因产品自身质量原因出现异常情况，供应商能在收到院方口头或书面通知后请厂家或专家24 小时内到采购人处协助解决异常情况，相关一切费用由供应商负责。</w:t>
      </w:r>
    </w:p>
    <w:p w14:paraId="1771A46C">
      <w:pPr>
        <w:pStyle w:val="3"/>
        <w:pageBreakBefore w:val="0"/>
        <w:kinsoku/>
        <w:wordWrap/>
        <w:overflowPunct/>
        <w:topLinePunct w:val="0"/>
        <w:bidi w:val="0"/>
        <w:spacing w:line="360" w:lineRule="auto"/>
        <w:ind w:left="0" w:leftChars="0"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11.5</w:t>
      </w:r>
      <w:r>
        <w:rPr>
          <w:rFonts w:hint="eastAsia" w:ascii="仿宋" w:hAnsi="仿宋" w:eastAsia="仿宋" w:cs="仿宋"/>
          <w:sz w:val="24"/>
          <w:szCs w:val="24"/>
          <w:lang w:eastAsia="zh-CN"/>
        </w:rPr>
        <w:t>、对于一些需要培训后使用的产品，供应商必须做好相关培训工作，培训产生的费用由供应商负责。</w:t>
      </w:r>
    </w:p>
    <w:p w14:paraId="7CABC3A3">
      <w:pPr>
        <w:ind w:firstLine="480" w:firstLineChars="200"/>
        <w:rPr>
          <w:rFonts w:hint="eastAsia" w:ascii="仿宋" w:hAnsi="仿宋" w:eastAsia="仿宋" w:cs="仿宋"/>
          <w:lang w:eastAsia="zh-CN"/>
        </w:rPr>
      </w:pPr>
      <w:r>
        <w:rPr>
          <w:rFonts w:hint="eastAsia" w:ascii="仿宋" w:hAnsi="仿宋" w:eastAsia="仿宋" w:cs="仿宋"/>
          <w:sz w:val="24"/>
          <w:szCs w:val="24"/>
          <w:lang w:val="en-US" w:eastAsia="zh-CN"/>
        </w:rPr>
        <w:t>11.6</w:t>
      </w:r>
      <w:r>
        <w:rPr>
          <w:rFonts w:hint="eastAsia" w:ascii="仿宋" w:hAnsi="仿宋" w:eastAsia="仿宋" w:cs="仿宋"/>
          <w:sz w:val="24"/>
          <w:szCs w:val="24"/>
          <w:lang w:eastAsia="zh-CN"/>
        </w:rPr>
        <w:t>、中标人保证所提供的产品质量，如出现产品质量问题中标人应负责退换。由于产品质量问题引起的医疗事故均由中标人承担相应责任。</w:t>
      </w:r>
    </w:p>
    <w:p w14:paraId="46C6A911">
      <w:pPr>
        <w:tabs>
          <w:tab w:val="left" w:pos="7665"/>
        </w:tabs>
        <w:spacing w:line="360" w:lineRule="auto"/>
        <w:ind w:firstLine="480"/>
        <w:jc w:val="center"/>
        <w:outlineLvl w:val="0"/>
        <w:rPr>
          <w:rFonts w:hint="eastAsia" w:ascii="仿宋" w:hAnsi="仿宋" w:eastAsia="仿宋" w:cs="仿宋"/>
          <w:b/>
          <w:sz w:val="36"/>
          <w:szCs w:val="36"/>
          <w:highlight w:val="none"/>
        </w:rPr>
      </w:pPr>
    </w:p>
    <w:p w14:paraId="57CE6CF4">
      <w:pPr>
        <w:tabs>
          <w:tab w:val="left" w:pos="7665"/>
        </w:tabs>
        <w:spacing w:line="360" w:lineRule="auto"/>
        <w:ind w:firstLine="480"/>
        <w:jc w:val="center"/>
        <w:outlineLvl w:val="0"/>
        <w:rPr>
          <w:rFonts w:hint="eastAsia" w:ascii="仿宋" w:hAnsi="仿宋" w:eastAsia="仿宋" w:cs="仿宋"/>
          <w:b/>
          <w:sz w:val="36"/>
          <w:szCs w:val="36"/>
          <w:highlight w:val="none"/>
        </w:rPr>
      </w:pPr>
    </w:p>
    <w:p w14:paraId="73345D11">
      <w:pPr>
        <w:tabs>
          <w:tab w:val="left" w:pos="7665"/>
        </w:tabs>
        <w:spacing w:line="360" w:lineRule="auto"/>
        <w:jc w:val="both"/>
        <w:outlineLvl w:val="0"/>
        <w:rPr>
          <w:rFonts w:hint="eastAsia" w:ascii="仿宋" w:hAnsi="仿宋" w:eastAsia="仿宋" w:cs="仿宋"/>
          <w:b/>
          <w:sz w:val="36"/>
          <w:szCs w:val="36"/>
          <w:highlight w:val="none"/>
        </w:rPr>
      </w:pPr>
    </w:p>
    <w:p w14:paraId="0F536CC3">
      <w:pPr>
        <w:tabs>
          <w:tab w:val="left" w:pos="7665"/>
        </w:tabs>
        <w:spacing w:line="360" w:lineRule="auto"/>
        <w:ind w:firstLine="480"/>
        <w:jc w:val="center"/>
        <w:outlineLvl w:val="0"/>
        <w:rPr>
          <w:rFonts w:hint="eastAsia" w:ascii="仿宋" w:hAnsi="仿宋" w:eastAsia="仿宋" w:cs="仿宋"/>
          <w:sz w:val="32"/>
          <w:highlight w:val="none"/>
        </w:rPr>
      </w:pPr>
      <w:r>
        <w:rPr>
          <w:rFonts w:hint="eastAsia" w:ascii="仿宋" w:hAnsi="仿宋" w:eastAsia="仿宋" w:cs="仿宋"/>
          <w:b/>
          <w:sz w:val="36"/>
          <w:szCs w:val="36"/>
          <w:highlight w:val="none"/>
        </w:rPr>
        <w:t xml:space="preserve">第六章  </w:t>
      </w:r>
      <w:r>
        <w:rPr>
          <w:rFonts w:hint="eastAsia" w:ascii="仿宋" w:hAnsi="仿宋" w:eastAsia="仿宋" w:cs="仿宋"/>
          <w:b/>
          <w:bCs/>
          <w:sz w:val="36"/>
          <w:szCs w:val="36"/>
          <w:highlight w:val="none"/>
        </w:rPr>
        <w:t>投标文件格式</w:t>
      </w:r>
      <w:bookmarkEnd w:id="95"/>
    </w:p>
    <w:p w14:paraId="15947E7A">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23DC6A99">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一、本章所制投标文件格式，除格式中明确将该格式作为实质性要求的，一律不具有强制性，但是，投标人投标文件相关资料和本章所制格式不一致的，评标小组将在评分时以投标文件不规范予以扣分处理。</w:t>
      </w:r>
    </w:p>
    <w:p w14:paraId="6D473DF0">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二、本章所制投标文件格式有关表格中的备注栏，由投标人根据自身投标情况作解释性说明，不作为必填项。</w:t>
      </w:r>
    </w:p>
    <w:p w14:paraId="1C96254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三、本章所制投标文件格式中需要填写的相关内容事项，可能会与本采购项目无关，在不改变投标文件原义、不影响本项目采购需求的情况下，投标人可以不予填写，但应当注明。</w:t>
      </w:r>
    </w:p>
    <w:p w14:paraId="3D9FC891">
      <w:pPr>
        <w:spacing w:line="360" w:lineRule="auto"/>
        <w:rPr>
          <w:rFonts w:hint="eastAsia" w:ascii="仿宋" w:hAnsi="仿宋" w:eastAsia="仿宋" w:cs="仿宋"/>
          <w:b/>
          <w:sz w:val="24"/>
          <w:szCs w:val="24"/>
          <w:highlight w:val="none"/>
        </w:rPr>
      </w:pPr>
    </w:p>
    <w:p w14:paraId="0EAD7CE8">
      <w:pPr>
        <w:pStyle w:val="34"/>
        <w:spacing w:before="46" w:after="46"/>
        <w:ind w:firstLine="0" w:firstLineChars="0"/>
        <w:jc w:val="left"/>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br w:type="page"/>
      </w:r>
      <w:bookmarkStart w:id="102" w:name="_Toc4945"/>
      <w:r>
        <w:rPr>
          <w:rFonts w:hint="eastAsia" w:ascii="仿宋" w:hAnsi="仿宋" w:eastAsia="仿宋" w:cs="仿宋"/>
          <w:b/>
          <w:szCs w:val="28"/>
          <w:highlight w:val="none"/>
        </w:rPr>
        <w:t>格式1 法定代表人授权委托书</w:t>
      </w:r>
      <w:bookmarkEnd w:id="102"/>
    </w:p>
    <w:p w14:paraId="7403BD85">
      <w:pPr>
        <w:pStyle w:val="7"/>
        <w:spacing w:line="360" w:lineRule="auto"/>
        <w:ind w:firstLine="562"/>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法定代表人授权委托书</w:t>
      </w:r>
    </w:p>
    <w:p w14:paraId="0652278F">
      <w:pPr>
        <w:pStyle w:val="7"/>
        <w:spacing w:line="360" w:lineRule="auto"/>
        <w:ind w:firstLine="482"/>
        <w:jc w:val="center"/>
        <w:rPr>
          <w:rFonts w:hint="eastAsia" w:ascii="仿宋" w:hAnsi="仿宋" w:eastAsia="仿宋" w:cs="仿宋"/>
          <w:b/>
          <w:sz w:val="24"/>
          <w:szCs w:val="24"/>
          <w:highlight w:val="none"/>
        </w:rPr>
      </w:pPr>
    </w:p>
    <w:p w14:paraId="7A2A3D66">
      <w:pPr>
        <w:spacing w:line="360" w:lineRule="auto"/>
        <w:jc w:val="left"/>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lang w:eastAsia="zh-CN"/>
        </w:rPr>
        <w:t>四川中采项目管理有限公司</w:t>
      </w:r>
    </w:p>
    <w:p w14:paraId="7B29A657">
      <w:pPr>
        <w:spacing w:line="360" w:lineRule="auto"/>
        <w:jc w:val="left"/>
        <w:rPr>
          <w:rFonts w:hint="eastAsia" w:ascii="仿宋" w:hAnsi="仿宋" w:eastAsia="仿宋" w:cs="仿宋"/>
          <w:sz w:val="24"/>
          <w:szCs w:val="24"/>
          <w:highlight w:val="none"/>
        </w:rPr>
      </w:pPr>
    </w:p>
    <w:p w14:paraId="3A2B8D51">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（投标人全称）法定代表人____________ 授权委托_____________为我的代理人，参加贵单位组织的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（项目名称）（项目编号：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）的响应。代理人在本次采购中所签署的一切文件和处理的一切有关事宜，我公司均予承认，所产生的法律后果均由我单位承担。</w:t>
      </w:r>
    </w:p>
    <w:p w14:paraId="5DFE2980">
      <w:pPr>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代理人无转委托权，本授权书自</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日签字生效，特此声明。</w:t>
      </w:r>
    </w:p>
    <w:p w14:paraId="660432E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投标人名称（公章）：</w:t>
      </w:r>
    </w:p>
    <w:p w14:paraId="6683424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法定代表人（签字）：</w:t>
      </w:r>
    </w:p>
    <w:p w14:paraId="011186A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授权代表（签字）：</w:t>
      </w:r>
    </w:p>
    <w:p w14:paraId="5396EF0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日  期：</w:t>
      </w:r>
    </w:p>
    <w:p w14:paraId="33B681FC">
      <w:pPr>
        <w:pStyle w:val="2"/>
        <w:rPr>
          <w:rFonts w:hint="eastAsia" w:ascii="仿宋" w:hAnsi="仿宋" w:eastAsia="仿宋" w:cs="仿宋"/>
          <w:highlight w:val="none"/>
        </w:rPr>
      </w:pPr>
    </w:p>
    <w:p w14:paraId="5C3F0158">
      <w:pPr>
        <w:spacing w:line="360" w:lineRule="auto"/>
        <w:ind w:firstLine="480" w:firstLineChars="200"/>
        <w:rPr>
          <w:rFonts w:hint="eastAsia" w:ascii="仿宋" w:hAnsi="仿宋" w:eastAsia="仿宋" w:cs="仿宋"/>
          <w:b/>
          <w:sz w:val="24"/>
          <w:szCs w:val="24"/>
          <w:highlight w:val="none"/>
          <w:lang w:val="zh-CN"/>
        </w:rPr>
      </w:pPr>
      <w:r>
        <w:rPr>
          <w:rFonts w:hint="eastAsia" w:ascii="仿宋" w:hAnsi="仿宋" w:eastAsia="仿宋" w:cs="仿宋"/>
          <w:b/>
          <w:sz w:val="24"/>
          <w:szCs w:val="24"/>
          <w:highlight w:val="none"/>
          <w:lang w:val="zh-CN"/>
        </w:rPr>
        <w:t>附：代理人身份证复印件（加盖公章）</w:t>
      </w:r>
    </w:p>
    <w:p w14:paraId="41642CDA">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说明：</w:t>
      </w:r>
    </w:p>
    <w:p w14:paraId="134400E9">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lang w:val="zh-CN"/>
        </w:rPr>
        <w:t>（</w:t>
      </w:r>
      <w:r>
        <w:rPr>
          <w:rFonts w:hint="eastAsia" w:ascii="仿宋" w:hAnsi="仿宋" w:eastAsia="仿宋" w:cs="仿宋"/>
          <w:b/>
          <w:sz w:val="24"/>
          <w:szCs w:val="24"/>
          <w:highlight w:val="none"/>
        </w:rPr>
        <w:t>1</w:t>
      </w:r>
      <w:r>
        <w:rPr>
          <w:rFonts w:hint="eastAsia" w:ascii="仿宋" w:hAnsi="仿宋" w:eastAsia="仿宋" w:cs="仿宋"/>
          <w:b/>
          <w:sz w:val="24"/>
          <w:szCs w:val="24"/>
          <w:highlight w:val="none"/>
          <w:lang w:val="zh-CN"/>
        </w:rPr>
        <w:t>）上述证明文件在投标文件中附有代理人身份证复印件</w:t>
      </w:r>
      <w:r>
        <w:rPr>
          <w:rFonts w:hint="eastAsia" w:ascii="仿宋" w:hAnsi="仿宋" w:eastAsia="仿宋" w:cs="仿宋"/>
          <w:b/>
          <w:sz w:val="24"/>
          <w:szCs w:val="24"/>
          <w:highlight w:val="none"/>
        </w:rPr>
        <w:t>。</w:t>
      </w:r>
    </w:p>
    <w:p w14:paraId="034255D2">
      <w:pPr>
        <w:spacing w:line="360" w:lineRule="auto"/>
        <w:ind w:firstLine="480" w:firstLineChars="200"/>
        <w:rPr>
          <w:rFonts w:hint="eastAsia" w:ascii="仿宋" w:hAnsi="仿宋" w:eastAsia="仿宋" w:cs="仿宋"/>
          <w:b/>
          <w:bCs/>
          <w:sz w:val="24"/>
          <w:szCs w:val="24"/>
          <w:highlight w:val="none"/>
        </w:rPr>
      </w:pPr>
      <w:r>
        <w:rPr>
          <w:rFonts w:hint="eastAsia" w:ascii="仿宋" w:hAnsi="仿宋" w:eastAsia="仿宋" w:cs="仿宋"/>
          <w:b/>
          <w:sz w:val="24"/>
          <w:szCs w:val="24"/>
          <w:highlight w:val="none"/>
        </w:rPr>
        <w:t>（2）投标文件均由投标人法定代表人签字的,投标文件中可不提供该附件的内容。</w:t>
      </w:r>
    </w:p>
    <w:p w14:paraId="70AE2048">
      <w:pPr>
        <w:spacing w:line="360" w:lineRule="auto"/>
        <w:jc w:val="center"/>
        <w:rPr>
          <w:rFonts w:hint="eastAsia" w:ascii="仿宋" w:hAnsi="仿宋" w:eastAsia="仿宋" w:cs="仿宋"/>
          <w:b/>
          <w:bCs/>
          <w:sz w:val="24"/>
          <w:szCs w:val="24"/>
          <w:highlight w:val="none"/>
        </w:rPr>
      </w:pPr>
    </w:p>
    <w:p w14:paraId="5310E0CC">
      <w:pPr>
        <w:spacing w:line="360" w:lineRule="auto"/>
        <w:jc w:val="left"/>
        <w:outlineLvl w:val="1"/>
        <w:rPr>
          <w:rFonts w:hint="eastAsia" w:ascii="仿宋" w:hAnsi="仿宋" w:eastAsia="仿宋" w:cs="仿宋"/>
          <w:b/>
          <w:bCs/>
          <w:sz w:val="28"/>
          <w:szCs w:val="28"/>
          <w:highlight w:val="none"/>
        </w:rPr>
      </w:pPr>
      <w:r>
        <w:rPr>
          <w:rFonts w:hint="eastAsia" w:ascii="仿宋" w:hAnsi="仿宋" w:eastAsia="仿宋" w:cs="仿宋"/>
          <w:b/>
          <w:bCs/>
          <w:sz w:val="24"/>
          <w:szCs w:val="24"/>
          <w:highlight w:val="none"/>
        </w:rPr>
        <w:br w:type="page"/>
      </w:r>
      <w:bookmarkStart w:id="103" w:name="_Toc21235"/>
      <w:r>
        <w:rPr>
          <w:rFonts w:hint="eastAsia" w:ascii="仿宋" w:hAnsi="仿宋" w:eastAsia="仿宋" w:cs="仿宋"/>
          <w:b/>
          <w:bCs/>
          <w:sz w:val="28"/>
          <w:szCs w:val="28"/>
          <w:highlight w:val="none"/>
        </w:rPr>
        <w:t>格式2 投标人基本情况表</w:t>
      </w:r>
      <w:bookmarkEnd w:id="103"/>
    </w:p>
    <w:p w14:paraId="1BF4E14F">
      <w:pPr>
        <w:spacing w:line="360" w:lineRule="auto"/>
        <w:jc w:val="center"/>
        <w:rPr>
          <w:rFonts w:hint="eastAsia" w:ascii="仿宋" w:hAnsi="仿宋" w:eastAsia="仿宋" w:cs="仿宋"/>
          <w:b/>
          <w:bCs/>
          <w:sz w:val="28"/>
          <w:szCs w:val="36"/>
          <w:highlight w:val="none"/>
        </w:rPr>
      </w:pPr>
      <w:r>
        <w:rPr>
          <w:rFonts w:hint="eastAsia" w:ascii="仿宋" w:hAnsi="仿宋" w:eastAsia="仿宋" w:cs="仿宋"/>
          <w:b/>
          <w:bCs/>
          <w:sz w:val="28"/>
          <w:szCs w:val="36"/>
          <w:highlight w:val="none"/>
        </w:rPr>
        <w:t>投标人基本情况表</w:t>
      </w:r>
    </w:p>
    <w:tbl>
      <w:tblPr>
        <w:tblStyle w:val="22"/>
        <w:tblW w:w="9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1153"/>
        <w:gridCol w:w="192"/>
        <w:gridCol w:w="1345"/>
        <w:gridCol w:w="1344"/>
        <w:gridCol w:w="449"/>
        <w:gridCol w:w="512"/>
        <w:gridCol w:w="384"/>
        <w:gridCol w:w="898"/>
        <w:gridCol w:w="314"/>
        <w:gridCol w:w="133"/>
        <w:gridCol w:w="1345"/>
      </w:tblGrid>
      <w:tr w14:paraId="5A431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29" w:type="dxa"/>
            <w:vAlign w:val="center"/>
          </w:tcPr>
          <w:p w14:paraId="41D4B6F0">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投标人名称</w:t>
            </w:r>
          </w:p>
        </w:tc>
        <w:tc>
          <w:tcPr>
            <w:tcW w:w="8069" w:type="dxa"/>
            <w:gridSpan w:val="11"/>
            <w:vAlign w:val="center"/>
          </w:tcPr>
          <w:p w14:paraId="3F214BC7">
            <w:pPr>
              <w:spacing w:line="360" w:lineRule="auto"/>
              <w:jc w:val="center"/>
              <w:rPr>
                <w:rFonts w:hint="eastAsia" w:ascii="仿宋" w:hAnsi="仿宋" w:eastAsia="仿宋" w:cs="仿宋"/>
                <w:bCs/>
                <w:sz w:val="24"/>
                <w:szCs w:val="24"/>
                <w:highlight w:val="none"/>
              </w:rPr>
            </w:pPr>
          </w:p>
        </w:tc>
      </w:tr>
      <w:tr w14:paraId="79AA2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729" w:type="dxa"/>
            <w:vAlign w:val="center"/>
          </w:tcPr>
          <w:p w14:paraId="1478BBC9">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注册地址</w:t>
            </w:r>
          </w:p>
        </w:tc>
        <w:tc>
          <w:tcPr>
            <w:tcW w:w="4995" w:type="dxa"/>
            <w:gridSpan w:val="6"/>
            <w:vAlign w:val="center"/>
          </w:tcPr>
          <w:p w14:paraId="3FBEFC9C">
            <w:pPr>
              <w:spacing w:line="360" w:lineRule="auto"/>
              <w:jc w:val="center"/>
              <w:rPr>
                <w:rFonts w:hint="eastAsia" w:ascii="仿宋" w:hAnsi="仿宋" w:eastAsia="仿宋" w:cs="仿宋"/>
                <w:bCs/>
                <w:sz w:val="24"/>
                <w:szCs w:val="24"/>
                <w:highlight w:val="none"/>
              </w:rPr>
            </w:pPr>
          </w:p>
        </w:tc>
        <w:tc>
          <w:tcPr>
            <w:tcW w:w="1596" w:type="dxa"/>
            <w:gridSpan w:val="3"/>
            <w:vAlign w:val="center"/>
          </w:tcPr>
          <w:p w14:paraId="0C83101F">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邮政编码</w:t>
            </w:r>
          </w:p>
        </w:tc>
        <w:tc>
          <w:tcPr>
            <w:tcW w:w="1478" w:type="dxa"/>
            <w:gridSpan w:val="2"/>
            <w:vAlign w:val="center"/>
          </w:tcPr>
          <w:p w14:paraId="232E91BB">
            <w:pPr>
              <w:spacing w:line="360" w:lineRule="auto"/>
              <w:jc w:val="center"/>
              <w:rPr>
                <w:rFonts w:hint="eastAsia" w:ascii="仿宋" w:hAnsi="仿宋" w:eastAsia="仿宋" w:cs="仿宋"/>
                <w:bCs/>
                <w:sz w:val="24"/>
                <w:szCs w:val="24"/>
                <w:highlight w:val="none"/>
              </w:rPr>
            </w:pPr>
          </w:p>
        </w:tc>
      </w:tr>
      <w:tr w14:paraId="6C5E9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29" w:type="dxa"/>
            <w:vMerge w:val="restart"/>
            <w:vAlign w:val="center"/>
          </w:tcPr>
          <w:p w14:paraId="498BB03A">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联系方式</w:t>
            </w:r>
          </w:p>
        </w:tc>
        <w:tc>
          <w:tcPr>
            <w:tcW w:w="1153" w:type="dxa"/>
            <w:vAlign w:val="center"/>
          </w:tcPr>
          <w:p w14:paraId="011596D1">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联系人</w:t>
            </w:r>
          </w:p>
        </w:tc>
        <w:tc>
          <w:tcPr>
            <w:tcW w:w="3842" w:type="dxa"/>
            <w:gridSpan w:val="5"/>
            <w:vAlign w:val="center"/>
          </w:tcPr>
          <w:p w14:paraId="584909F5">
            <w:pPr>
              <w:spacing w:line="360" w:lineRule="auto"/>
              <w:jc w:val="center"/>
              <w:rPr>
                <w:rFonts w:hint="eastAsia" w:ascii="仿宋" w:hAnsi="仿宋" w:eastAsia="仿宋" w:cs="仿宋"/>
                <w:bCs/>
                <w:sz w:val="24"/>
                <w:szCs w:val="24"/>
                <w:highlight w:val="none"/>
              </w:rPr>
            </w:pPr>
          </w:p>
        </w:tc>
        <w:tc>
          <w:tcPr>
            <w:tcW w:w="1596" w:type="dxa"/>
            <w:gridSpan w:val="3"/>
            <w:vAlign w:val="center"/>
          </w:tcPr>
          <w:p w14:paraId="09C49F62">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联系电话</w:t>
            </w:r>
          </w:p>
        </w:tc>
        <w:tc>
          <w:tcPr>
            <w:tcW w:w="1478" w:type="dxa"/>
            <w:gridSpan w:val="2"/>
            <w:vAlign w:val="center"/>
          </w:tcPr>
          <w:p w14:paraId="1F53A57F">
            <w:pPr>
              <w:spacing w:line="360" w:lineRule="auto"/>
              <w:jc w:val="center"/>
              <w:rPr>
                <w:rFonts w:hint="eastAsia" w:ascii="仿宋" w:hAnsi="仿宋" w:eastAsia="仿宋" w:cs="仿宋"/>
                <w:bCs/>
                <w:sz w:val="24"/>
                <w:szCs w:val="24"/>
                <w:highlight w:val="none"/>
              </w:rPr>
            </w:pPr>
          </w:p>
        </w:tc>
      </w:tr>
      <w:tr w14:paraId="24BAC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29" w:type="dxa"/>
            <w:vMerge w:val="continue"/>
            <w:vAlign w:val="center"/>
          </w:tcPr>
          <w:p w14:paraId="68565291">
            <w:pPr>
              <w:spacing w:line="360" w:lineRule="auto"/>
              <w:jc w:val="center"/>
              <w:rPr>
                <w:rFonts w:hint="eastAsia" w:ascii="仿宋" w:hAnsi="仿宋" w:eastAsia="仿宋" w:cs="仿宋"/>
                <w:bCs/>
                <w:sz w:val="24"/>
                <w:szCs w:val="24"/>
                <w:highlight w:val="none"/>
              </w:rPr>
            </w:pPr>
          </w:p>
        </w:tc>
        <w:tc>
          <w:tcPr>
            <w:tcW w:w="1153" w:type="dxa"/>
            <w:vAlign w:val="center"/>
          </w:tcPr>
          <w:p w14:paraId="0FF99AEF">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传真</w:t>
            </w:r>
          </w:p>
        </w:tc>
        <w:tc>
          <w:tcPr>
            <w:tcW w:w="3842" w:type="dxa"/>
            <w:gridSpan w:val="5"/>
            <w:vAlign w:val="center"/>
          </w:tcPr>
          <w:p w14:paraId="7E3BB7DC">
            <w:pPr>
              <w:spacing w:line="360" w:lineRule="auto"/>
              <w:jc w:val="center"/>
              <w:rPr>
                <w:rFonts w:hint="eastAsia" w:ascii="仿宋" w:hAnsi="仿宋" w:eastAsia="仿宋" w:cs="仿宋"/>
                <w:bCs/>
                <w:sz w:val="24"/>
                <w:szCs w:val="24"/>
                <w:highlight w:val="none"/>
              </w:rPr>
            </w:pPr>
          </w:p>
        </w:tc>
        <w:tc>
          <w:tcPr>
            <w:tcW w:w="1596" w:type="dxa"/>
            <w:gridSpan w:val="3"/>
            <w:vAlign w:val="center"/>
          </w:tcPr>
          <w:p w14:paraId="31991495">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网址</w:t>
            </w:r>
          </w:p>
        </w:tc>
        <w:tc>
          <w:tcPr>
            <w:tcW w:w="1478" w:type="dxa"/>
            <w:gridSpan w:val="2"/>
            <w:vAlign w:val="center"/>
          </w:tcPr>
          <w:p w14:paraId="1C9472D9">
            <w:pPr>
              <w:spacing w:line="360" w:lineRule="auto"/>
              <w:jc w:val="center"/>
              <w:rPr>
                <w:rFonts w:hint="eastAsia" w:ascii="仿宋" w:hAnsi="仿宋" w:eastAsia="仿宋" w:cs="仿宋"/>
                <w:bCs/>
                <w:sz w:val="24"/>
                <w:szCs w:val="24"/>
                <w:highlight w:val="none"/>
              </w:rPr>
            </w:pPr>
          </w:p>
        </w:tc>
      </w:tr>
      <w:tr w14:paraId="40FA1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29" w:type="dxa"/>
            <w:vAlign w:val="center"/>
          </w:tcPr>
          <w:p w14:paraId="77B9D04D">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组织结构</w:t>
            </w:r>
          </w:p>
        </w:tc>
        <w:tc>
          <w:tcPr>
            <w:tcW w:w="8069" w:type="dxa"/>
            <w:gridSpan w:val="11"/>
            <w:vAlign w:val="center"/>
          </w:tcPr>
          <w:p w14:paraId="3C5E9BBD">
            <w:pPr>
              <w:spacing w:line="360" w:lineRule="auto"/>
              <w:jc w:val="center"/>
              <w:rPr>
                <w:rFonts w:hint="eastAsia" w:ascii="仿宋" w:hAnsi="仿宋" w:eastAsia="仿宋" w:cs="仿宋"/>
                <w:bCs/>
                <w:sz w:val="24"/>
                <w:szCs w:val="24"/>
                <w:highlight w:val="none"/>
              </w:rPr>
            </w:pPr>
          </w:p>
        </w:tc>
      </w:tr>
      <w:tr w14:paraId="1143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29" w:type="dxa"/>
            <w:vAlign w:val="center"/>
          </w:tcPr>
          <w:p w14:paraId="209E2858">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法定代表人</w:t>
            </w:r>
          </w:p>
        </w:tc>
        <w:tc>
          <w:tcPr>
            <w:tcW w:w="1345" w:type="dxa"/>
            <w:gridSpan w:val="2"/>
            <w:vAlign w:val="center"/>
          </w:tcPr>
          <w:p w14:paraId="21B00509">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姓名</w:t>
            </w:r>
          </w:p>
        </w:tc>
        <w:tc>
          <w:tcPr>
            <w:tcW w:w="1345" w:type="dxa"/>
            <w:vAlign w:val="center"/>
          </w:tcPr>
          <w:p w14:paraId="54D9AE6B">
            <w:pPr>
              <w:spacing w:line="360" w:lineRule="auto"/>
              <w:jc w:val="center"/>
              <w:rPr>
                <w:rFonts w:hint="eastAsia" w:ascii="仿宋" w:hAnsi="仿宋" w:eastAsia="仿宋" w:cs="仿宋"/>
                <w:bCs/>
                <w:sz w:val="24"/>
                <w:szCs w:val="24"/>
                <w:highlight w:val="none"/>
              </w:rPr>
            </w:pPr>
          </w:p>
        </w:tc>
        <w:tc>
          <w:tcPr>
            <w:tcW w:w="1344" w:type="dxa"/>
            <w:vAlign w:val="center"/>
          </w:tcPr>
          <w:p w14:paraId="6250D6CB">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技术职称</w:t>
            </w:r>
          </w:p>
        </w:tc>
        <w:tc>
          <w:tcPr>
            <w:tcW w:w="1345" w:type="dxa"/>
            <w:gridSpan w:val="3"/>
            <w:vAlign w:val="center"/>
          </w:tcPr>
          <w:p w14:paraId="627BD555">
            <w:pPr>
              <w:spacing w:line="360" w:lineRule="auto"/>
              <w:jc w:val="center"/>
              <w:rPr>
                <w:rFonts w:hint="eastAsia" w:ascii="仿宋" w:hAnsi="仿宋" w:eastAsia="仿宋" w:cs="仿宋"/>
                <w:bCs/>
                <w:sz w:val="24"/>
                <w:szCs w:val="24"/>
                <w:highlight w:val="none"/>
              </w:rPr>
            </w:pPr>
          </w:p>
        </w:tc>
        <w:tc>
          <w:tcPr>
            <w:tcW w:w="1345" w:type="dxa"/>
            <w:gridSpan w:val="3"/>
            <w:vAlign w:val="center"/>
          </w:tcPr>
          <w:p w14:paraId="68560E6A">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联系电话</w:t>
            </w:r>
          </w:p>
        </w:tc>
        <w:tc>
          <w:tcPr>
            <w:tcW w:w="1345" w:type="dxa"/>
            <w:vAlign w:val="center"/>
          </w:tcPr>
          <w:p w14:paraId="51CB67CA">
            <w:pPr>
              <w:spacing w:line="360" w:lineRule="auto"/>
              <w:jc w:val="center"/>
              <w:rPr>
                <w:rFonts w:hint="eastAsia" w:ascii="仿宋" w:hAnsi="仿宋" w:eastAsia="仿宋" w:cs="仿宋"/>
                <w:bCs/>
                <w:sz w:val="24"/>
                <w:szCs w:val="24"/>
                <w:highlight w:val="none"/>
              </w:rPr>
            </w:pPr>
          </w:p>
        </w:tc>
      </w:tr>
      <w:tr w14:paraId="22924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29" w:type="dxa"/>
            <w:vAlign w:val="center"/>
          </w:tcPr>
          <w:p w14:paraId="5C683E41">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技术负责人</w:t>
            </w:r>
          </w:p>
        </w:tc>
        <w:tc>
          <w:tcPr>
            <w:tcW w:w="1345" w:type="dxa"/>
            <w:gridSpan w:val="2"/>
            <w:vAlign w:val="center"/>
          </w:tcPr>
          <w:p w14:paraId="3104F952">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姓名</w:t>
            </w:r>
          </w:p>
        </w:tc>
        <w:tc>
          <w:tcPr>
            <w:tcW w:w="1345" w:type="dxa"/>
            <w:vAlign w:val="center"/>
          </w:tcPr>
          <w:p w14:paraId="171D0711">
            <w:pPr>
              <w:spacing w:line="360" w:lineRule="auto"/>
              <w:jc w:val="center"/>
              <w:rPr>
                <w:rFonts w:hint="eastAsia" w:ascii="仿宋" w:hAnsi="仿宋" w:eastAsia="仿宋" w:cs="仿宋"/>
                <w:bCs/>
                <w:sz w:val="24"/>
                <w:szCs w:val="24"/>
                <w:highlight w:val="none"/>
              </w:rPr>
            </w:pPr>
          </w:p>
        </w:tc>
        <w:tc>
          <w:tcPr>
            <w:tcW w:w="1344" w:type="dxa"/>
            <w:vAlign w:val="center"/>
          </w:tcPr>
          <w:p w14:paraId="1D652EA0">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技术职称</w:t>
            </w:r>
          </w:p>
        </w:tc>
        <w:tc>
          <w:tcPr>
            <w:tcW w:w="1345" w:type="dxa"/>
            <w:gridSpan w:val="3"/>
            <w:vAlign w:val="center"/>
          </w:tcPr>
          <w:p w14:paraId="1E474A10">
            <w:pPr>
              <w:spacing w:line="360" w:lineRule="auto"/>
              <w:jc w:val="center"/>
              <w:rPr>
                <w:rFonts w:hint="eastAsia" w:ascii="仿宋" w:hAnsi="仿宋" w:eastAsia="仿宋" w:cs="仿宋"/>
                <w:bCs/>
                <w:sz w:val="24"/>
                <w:szCs w:val="24"/>
                <w:highlight w:val="none"/>
              </w:rPr>
            </w:pPr>
          </w:p>
        </w:tc>
        <w:tc>
          <w:tcPr>
            <w:tcW w:w="1345" w:type="dxa"/>
            <w:gridSpan w:val="3"/>
            <w:vAlign w:val="center"/>
          </w:tcPr>
          <w:p w14:paraId="47490CCB">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联系电话</w:t>
            </w:r>
          </w:p>
        </w:tc>
        <w:tc>
          <w:tcPr>
            <w:tcW w:w="1345" w:type="dxa"/>
            <w:vAlign w:val="center"/>
          </w:tcPr>
          <w:p w14:paraId="4F08D188">
            <w:pPr>
              <w:spacing w:line="360" w:lineRule="auto"/>
              <w:jc w:val="center"/>
              <w:rPr>
                <w:rFonts w:hint="eastAsia" w:ascii="仿宋" w:hAnsi="仿宋" w:eastAsia="仿宋" w:cs="仿宋"/>
                <w:bCs/>
                <w:sz w:val="24"/>
                <w:szCs w:val="24"/>
                <w:highlight w:val="none"/>
              </w:rPr>
            </w:pPr>
          </w:p>
        </w:tc>
      </w:tr>
      <w:tr w14:paraId="50F09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29" w:type="dxa"/>
            <w:vAlign w:val="center"/>
          </w:tcPr>
          <w:p w14:paraId="277D55D7">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成立时间</w:t>
            </w:r>
          </w:p>
        </w:tc>
        <w:tc>
          <w:tcPr>
            <w:tcW w:w="2690" w:type="dxa"/>
            <w:gridSpan w:val="3"/>
            <w:vAlign w:val="center"/>
          </w:tcPr>
          <w:p w14:paraId="5A51386A">
            <w:pPr>
              <w:spacing w:line="360" w:lineRule="auto"/>
              <w:jc w:val="center"/>
              <w:rPr>
                <w:rFonts w:hint="eastAsia" w:ascii="仿宋" w:hAnsi="仿宋" w:eastAsia="仿宋" w:cs="仿宋"/>
                <w:bCs/>
                <w:sz w:val="24"/>
                <w:szCs w:val="24"/>
                <w:highlight w:val="none"/>
              </w:rPr>
            </w:pPr>
          </w:p>
        </w:tc>
        <w:tc>
          <w:tcPr>
            <w:tcW w:w="5379" w:type="dxa"/>
            <w:gridSpan w:val="8"/>
            <w:vAlign w:val="center"/>
          </w:tcPr>
          <w:p w14:paraId="12275C7F">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员工总人数：</w:t>
            </w:r>
          </w:p>
        </w:tc>
      </w:tr>
      <w:tr w14:paraId="2120D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29" w:type="dxa"/>
            <w:vAlign w:val="center"/>
          </w:tcPr>
          <w:p w14:paraId="3AE93A42">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企业资质等级</w:t>
            </w:r>
          </w:p>
        </w:tc>
        <w:tc>
          <w:tcPr>
            <w:tcW w:w="2690" w:type="dxa"/>
            <w:gridSpan w:val="3"/>
            <w:vAlign w:val="center"/>
          </w:tcPr>
          <w:p w14:paraId="7969E8D5">
            <w:pPr>
              <w:spacing w:line="360" w:lineRule="auto"/>
              <w:jc w:val="center"/>
              <w:rPr>
                <w:rFonts w:hint="eastAsia" w:ascii="仿宋" w:hAnsi="仿宋" w:eastAsia="仿宋" w:cs="仿宋"/>
                <w:bCs/>
                <w:sz w:val="24"/>
                <w:szCs w:val="24"/>
                <w:highlight w:val="none"/>
              </w:rPr>
            </w:pPr>
          </w:p>
        </w:tc>
        <w:tc>
          <w:tcPr>
            <w:tcW w:w="1793" w:type="dxa"/>
            <w:gridSpan w:val="2"/>
            <w:vMerge w:val="restart"/>
            <w:vAlign w:val="center"/>
          </w:tcPr>
          <w:p w14:paraId="21788637">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其中</w:t>
            </w:r>
          </w:p>
        </w:tc>
        <w:tc>
          <w:tcPr>
            <w:tcW w:w="1794" w:type="dxa"/>
            <w:gridSpan w:val="3"/>
            <w:vAlign w:val="center"/>
          </w:tcPr>
          <w:p w14:paraId="0F7D293C">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项目经理</w:t>
            </w:r>
          </w:p>
        </w:tc>
        <w:tc>
          <w:tcPr>
            <w:tcW w:w="1792" w:type="dxa"/>
            <w:gridSpan w:val="3"/>
            <w:vAlign w:val="center"/>
          </w:tcPr>
          <w:p w14:paraId="0CC705BC">
            <w:pPr>
              <w:spacing w:line="360" w:lineRule="auto"/>
              <w:jc w:val="center"/>
              <w:rPr>
                <w:rFonts w:hint="eastAsia" w:ascii="仿宋" w:hAnsi="仿宋" w:eastAsia="仿宋" w:cs="仿宋"/>
                <w:bCs/>
                <w:sz w:val="24"/>
                <w:szCs w:val="24"/>
                <w:highlight w:val="none"/>
              </w:rPr>
            </w:pPr>
          </w:p>
        </w:tc>
      </w:tr>
      <w:tr w14:paraId="5E4D0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29" w:type="dxa"/>
            <w:vAlign w:val="center"/>
          </w:tcPr>
          <w:p w14:paraId="2092E2E6">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营业执照</w:t>
            </w:r>
            <w:r>
              <w:rPr>
                <w:rFonts w:hint="eastAsia" w:ascii="仿宋" w:hAnsi="仿宋" w:eastAsia="仿宋" w:cs="仿宋"/>
                <w:sz w:val="24"/>
                <w:szCs w:val="24"/>
                <w:highlight w:val="none"/>
              </w:rPr>
              <w:t>号</w:t>
            </w:r>
          </w:p>
        </w:tc>
        <w:tc>
          <w:tcPr>
            <w:tcW w:w="2690" w:type="dxa"/>
            <w:gridSpan w:val="3"/>
            <w:vAlign w:val="center"/>
          </w:tcPr>
          <w:p w14:paraId="626C7F9E">
            <w:pPr>
              <w:spacing w:line="360" w:lineRule="auto"/>
              <w:jc w:val="center"/>
              <w:rPr>
                <w:rFonts w:hint="eastAsia" w:ascii="仿宋" w:hAnsi="仿宋" w:eastAsia="仿宋" w:cs="仿宋"/>
                <w:bCs/>
                <w:sz w:val="24"/>
                <w:szCs w:val="24"/>
                <w:highlight w:val="none"/>
              </w:rPr>
            </w:pPr>
          </w:p>
        </w:tc>
        <w:tc>
          <w:tcPr>
            <w:tcW w:w="1793" w:type="dxa"/>
            <w:gridSpan w:val="2"/>
            <w:vMerge w:val="continue"/>
            <w:vAlign w:val="center"/>
          </w:tcPr>
          <w:p w14:paraId="376D4F6F">
            <w:pPr>
              <w:spacing w:line="360" w:lineRule="auto"/>
              <w:jc w:val="center"/>
              <w:rPr>
                <w:rFonts w:hint="eastAsia" w:ascii="仿宋" w:hAnsi="仿宋" w:eastAsia="仿宋" w:cs="仿宋"/>
                <w:bCs/>
                <w:sz w:val="24"/>
                <w:szCs w:val="24"/>
                <w:highlight w:val="none"/>
              </w:rPr>
            </w:pPr>
          </w:p>
        </w:tc>
        <w:tc>
          <w:tcPr>
            <w:tcW w:w="1794" w:type="dxa"/>
            <w:gridSpan w:val="3"/>
            <w:vAlign w:val="center"/>
          </w:tcPr>
          <w:p w14:paraId="33CD4190">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高级职称人员</w:t>
            </w:r>
          </w:p>
        </w:tc>
        <w:tc>
          <w:tcPr>
            <w:tcW w:w="1792" w:type="dxa"/>
            <w:gridSpan w:val="3"/>
            <w:vAlign w:val="center"/>
          </w:tcPr>
          <w:p w14:paraId="33557D9F">
            <w:pPr>
              <w:spacing w:line="360" w:lineRule="auto"/>
              <w:jc w:val="center"/>
              <w:rPr>
                <w:rFonts w:hint="eastAsia" w:ascii="仿宋" w:hAnsi="仿宋" w:eastAsia="仿宋" w:cs="仿宋"/>
                <w:bCs/>
                <w:sz w:val="24"/>
                <w:szCs w:val="24"/>
                <w:highlight w:val="none"/>
              </w:rPr>
            </w:pPr>
          </w:p>
        </w:tc>
      </w:tr>
      <w:tr w14:paraId="3468D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29" w:type="dxa"/>
            <w:vAlign w:val="center"/>
          </w:tcPr>
          <w:p w14:paraId="4D541B32">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注册资金</w:t>
            </w:r>
          </w:p>
        </w:tc>
        <w:tc>
          <w:tcPr>
            <w:tcW w:w="2690" w:type="dxa"/>
            <w:gridSpan w:val="3"/>
            <w:vAlign w:val="center"/>
          </w:tcPr>
          <w:p w14:paraId="7A1FB8D5">
            <w:pPr>
              <w:spacing w:line="360" w:lineRule="auto"/>
              <w:jc w:val="center"/>
              <w:rPr>
                <w:rFonts w:hint="eastAsia" w:ascii="仿宋" w:hAnsi="仿宋" w:eastAsia="仿宋" w:cs="仿宋"/>
                <w:bCs/>
                <w:sz w:val="24"/>
                <w:szCs w:val="24"/>
                <w:highlight w:val="none"/>
              </w:rPr>
            </w:pPr>
          </w:p>
        </w:tc>
        <w:tc>
          <w:tcPr>
            <w:tcW w:w="1793" w:type="dxa"/>
            <w:gridSpan w:val="2"/>
            <w:vMerge w:val="continue"/>
            <w:vAlign w:val="center"/>
          </w:tcPr>
          <w:p w14:paraId="15F4EFDB">
            <w:pPr>
              <w:spacing w:line="360" w:lineRule="auto"/>
              <w:jc w:val="center"/>
              <w:rPr>
                <w:rFonts w:hint="eastAsia" w:ascii="仿宋" w:hAnsi="仿宋" w:eastAsia="仿宋" w:cs="仿宋"/>
                <w:bCs/>
                <w:sz w:val="24"/>
                <w:szCs w:val="24"/>
                <w:highlight w:val="none"/>
              </w:rPr>
            </w:pPr>
          </w:p>
        </w:tc>
        <w:tc>
          <w:tcPr>
            <w:tcW w:w="1794" w:type="dxa"/>
            <w:gridSpan w:val="3"/>
            <w:vAlign w:val="center"/>
          </w:tcPr>
          <w:p w14:paraId="0B56ED83">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中级职称人员</w:t>
            </w:r>
          </w:p>
        </w:tc>
        <w:tc>
          <w:tcPr>
            <w:tcW w:w="1792" w:type="dxa"/>
            <w:gridSpan w:val="3"/>
            <w:vAlign w:val="center"/>
          </w:tcPr>
          <w:p w14:paraId="3F6DE3C6">
            <w:pPr>
              <w:spacing w:line="360" w:lineRule="auto"/>
              <w:jc w:val="center"/>
              <w:rPr>
                <w:rFonts w:hint="eastAsia" w:ascii="仿宋" w:hAnsi="仿宋" w:eastAsia="仿宋" w:cs="仿宋"/>
                <w:bCs/>
                <w:sz w:val="24"/>
                <w:szCs w:val="24"/>
                <w:highlight w:val="none"/>
              </w:rPr>
            </w:pPr>
          </w:p>
        </w:tc>
      </w:tr>
      <w:tr w14:paraId="4F670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29" w:type="dxa"/>
            <w:vAlign w:val="center"/>
          </w:tcPr>
          <w:p w14:paraId="7304760A">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开户银行</w:t>
            </w:r>
          </w:p>
        </w:tc>
        <w:tc>
          <w:tcPr>
            <w:tcW w:w="2690" w:type="dxa"/>
            <w:gridSpan w:val="3"/>
            <w:vAlign w:val="center"/>
          </w:tcPr>
          <w:p w14:paraId="679DBDD9">
            <w:pPr>
              <w:spacing w:line="360" w:lineRule="auto"/>
              <w:jc w:val="center"/>
              <w:rPr>
                <w:rFonts w:hint="eastAsia" w:ascii="仿宋" w:hAnsi="仿宋" w:eastAsia="仿宋" w:cs="仿宋"/>
                <w:bCs/>
                <w:sz w:val="24"/>
                <w:szCs w:val="24"/>
                <w:highlight w:val="none"/>
              </w:rPr>
            </w:pPr>
          </w:p>
        </w:tc>
        <w:tc>
          <w:tcPr>
            <w:tcW w:w="1793" w:type="dxa"/>
            <w:gridSpan w:val="2"/>
            <w:vMerge w:val="continue"/>
            <w:vAlign w:val="center"/>
          </w:tcPr>
          <w:p w14:paraId="1DADAF17">
            <w:pPr>
              <w:spacing w:line="360" w:lineRule="auto"/>
              <w:jc w:val="center"/>
              <w:rPr>
                <w:rFonts w:hint="eastAsia" w:ascii="仿宋" w:hAnsi="仿宋" w:eastAsia="仿宋" w:cs="仿宋"/>
                <w:bCs/>
                <w:sz w:val="24"/>
                <w:szCs w:val="24"/>
                <w:highlight w:val="none"/>
              </w:rPr>
            </w:pPr>
          </w:p>
        </w:tc>
        <w:tc>
          <w:tcPr>
            <w:tcW w:w="1794" w:type="dxa"/>
            <w:gridSpan w:val="3"/>
            <w:vAlign w:val="center"/>
          </w:tcPr>
          <w:p w14:paraId="7B6AA1FF">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初级职称人员</w:t>
            </w:r>
          </w:p>
        </w:tc>
        <w:tc>
          <w:tcPr>
            <w:tcW w:w="1792" w:type="dxa"/>
            <w:gridSpan w:val="3"/>
            <w:vAlign w:val="center"/>
          </w:tcPr>
          <w:p w14:paraId="24BFC6BE">
            <w:pPr>
              <w:spacing w:line="360" w:lineRule="auto"/>
              <w:jc w:val="center"/>
              <w:rPr>
                <w:rFonts w:hint="eastAsia" w:ascii="仿宋" w:hAnsi="仿宋" w:eastAsia="仿宋" w:cs="仿宋"/>
                <w:bCs/>
                <w:sz w:val="24"/>
                <w:szCs w:val="24"/>
                <w:highlight w:val="none"/>
              </w:rPr>
            </w:pPr>
          </w:p>
        </w:tc>
      </w:tr>
      <w:tr w14:paraId="27608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29" w:type="dxa"/>
            <w:vAlign w:val="center"/>
          </w:tcPr>
          <w:p w14:paraId="1D194A30">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账号</w:t>
            </w:r>
          </w:p>
        </w:tc>
        <w:tc>
          <w:tcPr>
            <w:tcW w:w="2690" w:type="dxa"/>
            <w:gridSpan w:val="3"/>
            <w:vAlign w:val="center"/>
          </w:tcPr>
          <w:p w14:paraId="161CABED">
            <w:pPr>
              <w:spacing w:line="360" w:lineRule="auto"/>
              <w:jc w:val="center"/>
              <w:rPr>
                <w:rFonts w:hint="eastAsia" w:ascii="仿宋" w:hAnsi="仿宋" w:eastAsia="仿宋" w:cs="仿宋"/>
                <w:bCs/>
                <w:sz w:val="24"/>
                <w:szCs w:val="24"/>
                <w:highlight w:val="none"/>
              </w:rPr>
            </w:pPr>
          </w:p>
        </w:tc>
        <w:tc>
          <w:tcPr>
            <w:tcW w:w="1793" w:type="dxa"/>
            <w:gridSpan w:val="2"/>
            <w:vMerge w:val="continue"/>
            <w:vAlign w:val="center"/>
          </w:tcPr>
          <w:p w14:paraId="475D9E44">
            <w:pPr>
              <w:spacing w:line="360" w:lineRule="auto"/>
              <w:jc w:val="center"/>
              <w:rPr>
                <w:rFonts w:hint="eastAsia" w:ascii="仿宋" w:hAnsi="仿宋" w:eastAsia="仿宋" w:cs="仿宋"/>
                <w:bCs/>
                <w:sz w:val="24"/>
                <w:szCs w:val="24"/>
                <w:highlight w:val="none"/>
              </w:rPr>
            </w:pPr>
          </w:p>
        </w:tc>
        <w:tc>
          <w:tcPr>
            <w:tcW w:w="1794" w:type="dxa"/>
            <w:gridSpan w:val="3"/>
            <w:vAlign w:val="center"/>
          </w:tcPr>
          <w:p w14:paraId="381E02A5">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技工</w:t>
            </w:r>
          </w:p>
        </w:tc>
        <w:tc>
          <w:tcPr>
            <w:tcW w:w="1792" w:type="dxa"/>
            <w:gridSpan w:val="3"/>
            <w:vAlign w:val="center"/>
          </w:tcPr>
          <w:p w14:paraId="07E00264">
            <w:pPr>
              <w:spacing w:line="360" w:lineRule="auto"/>
              <w:jc w:val="center"/>
              <w:rPr>
                <w:rFonts w:hint="eastAsia" w:ascii="仿宋" w:hAnsi="仿宋" w:eastAsia="仿宋" w:cs="仿宋"/>
                <w:bCs/>
                <w:sz w:val="24"/>
                <w:szCs w:val="24"/>
                <w:highlight w:val="none"/>
              </w:rPr>
            </w:pPr>
          </w:p>
        </w:tc>
      </w:tr>
      <w:tr w14:paraId="0F387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729" w:type="dxa"/>
            <w:vAlign w:val="center"/>
          </w:tcPr>
          <w:p w14:paraId="67694501">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经营范围</w:t>
            </w:r>
          </w:p>
        </w:tc>
        <w:tc>
          <w:tcPr>
            <w:tcW w:w="8069" w:type="dxa"/>
            <w:gridSpan w:val="11"/>
            <w:vAlign w:val="center"/>
          </w:tcPr>
          <w:p w14:paraId="1BEA8A83">
            <w:pPr>
              <w:spacing w:line="360" w:lineRule="auto"/>
              <w:jc w:val="center"/>
              <w:rPr>
                <w:rFonts w:hint="eastAsia" w:ascii="仿宋" w:hAnsi="仿宋" w:eastAsia="仿宋" w:cs="仿宋"/>
                <w:bCs/>
                <w:sz w:val="24"/>
                <w:szCs w:val="24"/>
                <w:highlight w:val="none"/>
              </w:rPr>
            </w:pPr>
          </w:p>
        </w:tc>
      </w:tr>
      <w:tr w14:paraId="6E99D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29" w:type="dxa"/>
            <w:vAlign w:val="center"/>
          </w:tcPr>
          <w:p w14:paraId="08B942A1">
            <w:pPr>
              <w:spacing w:line="360" w:lineRule="auto"/>
              <w:jc w:val="center"/>
              <w:rPr>
                <w:rFonts w:hint="eastAsia" w:ascii="仿宋" w:hAnsi="仿宋" w:eastAsia="仿宋" w:cs="仿宋"/>
                <w:bCs/>
                <w:sz w:val="24"/>
                <w:szCs w:val="24"/>
                <w:highlight w:val="none"/>
              </w:rPr>
            </w:pPr>
            <w:r>
              <w:rPr>
                <w:rFonts w:hint="eastAsia" w:ascii="仿宋" w:hAnsi="仿宋" w:eastAsia="仿宋" w:cs="仿宋"/>
                <w:bCs/>
                <w:sz w:val="24"/>
                <w:szCs w:val="24"/>
                <w:highlight w:val="none"/>
              </w:rPr>
              <w:t>备注</w:t>
            </w:r>
          </w:p>
        </w:tc>
        <w:tc>
          <w:tcPr>
            <w:tcW w:w="8069" w:type="dxa"/>
            <w:gridSpan w:val="11"/>
            <w:vAlign w:val="center"/>
          </w:tcPr>
          <w:p w14:paraId="40062CD2">
            <w:pPr>
              <w:spacing w:line="360" w:lineRule="auto"/>
              <w:jc w:val="center"/>
              <w:rPr>
                <w:rFonts w:hint="eastAsia" w:ascii="仿宋" w:hAnsi="仿宋" w:eastAsia="仿宋" w:cs="仿宋"/>
                <w:bCs/>
                <w:sz w:val="24"/>
                <w:szCs w:val="24"/>
                <w:highlight w:val="none"/>
              </w:rPr>
            </w:pPr>
          </w:p>
        </w:tc>
      </w:tr>
    </w:tbl>
    <w:p w14:paraId="42C19BB0">
      <w:pPr>
        <w:adjustRightInd w:val="0"/>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投标人名称：XXX（盖单位公章）</w:t>
      </w:r>
    </w:p>
    <w:p w14:paraId="4AAB81B3">
      <w:pPr>
        <w:adjustRightInd w:val="0"/>
        <w:spacing w:line="360" w:lineRule="auto"/>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法定代表人或授权代表（签字或盖章）：XXX</w:t>
      </w:r>
    </w:p>
    <w:p w14:paraId="429CC091">
      <w:pPr>
        <w:adjustRightInd w:val="0"/>
        <w:spacing w:line="360" w:lineRule="auto"/>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日  期：XXX年XXX月XXX日</w:t>
      </w:r>
    </w:p>
    <w:p w14:paraId="45EC2C28">
      <w:pPr>
        <w:adjustRightInd w:val="0"/>
        <w:spacing w:line="360" w:lineRule="auto"/>
        <w:jc w:val="left"/>
        <w:outlineLvl w:val="1"/>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bookmarkStart w:id="104" w:name="_Toc30010"/>
      <w:r>
        <w:rPr>
          <w:rFonts w:hint="eastAsia" w:ascii="仿宋" w:hAnsi="仿宋" w:eastAsia="仿宋" w:cs="仿宋"/>
          <w:b/>
          <w:sz w:val="28"/>
          <w:szCs w:val="28"/>
          <w:highlight w:val="none"/>
        </w:rPr>
        <w:t>格式3 承诺函</w:t>
      </w:r>
      <w:bookmarkEnd w:id="104"/>
    </w:p>
    <w:p w14:paraId="5B9FE823">
      <w:pPr>
        <w:spacing w:line="300" w:lineRule="auto"/>
        <w:ind w:firstLine="480" w:firstLineChars="200"/>
        <w:jc w:val="center"/>
        <w:rPr>
          <w:rFonts w:hint="eastAsia" w:ascii="仿宋" w:hAnsi="仿宋" w:eastAsia="仿宋" w:cs="仿宋"/>
          <w:sz w:val="24"/>
          <w:szCs w:val="24"/>
          <w:highlight w:val="none"/>
        </w:rPr>
      </w:pPr>
      <w:r>
        <w:rPr>
          <w:rFonts w:hint="eastAsia" w:ascii="仿宋" w:hAnsi="仿宋" w:eastAsia="仿宋" w:cs="仿宋"/>
          <w:b/>
          <w:bCs/>
          <w:sz w:val="24"/>
          <w:szCs w:val="24"/>
          <w:highlight w:val="none"/>
        </w:rPr>
        <w:t>承诺函</w:t>
      </w:r>
    </w:p>
    <w:p w14:paraId="3D21F908">
      <w:pPr>
        <w:pStyle w:val="34"/>
        <w:spacing w:before="46" w:after="46" w:line="300" w:lineRule="auto"/>
        <w:ind w:firstLine="0" w:firstLineChars="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四川中采项目管理有限公司</w:t>
      </w:r>
    </w:p>
    <w:p w14:paraId="3CECF6BD">
      <w:pPr>
        <w:pStyle w:val="34"/>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（公司名称）作为参加本次招标采购活动（项目编号：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号）的投标人，现郑重承诺：</w:t>
      </w:r>
    </w:p>
    <w:p w14:paraId="541C0D57">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一、具备本项目规定的条件：</w:t>
      </w:r>
    </w:p>
    <w:p w14:paraId="0949AFE3">
      <w:pPr>
        <w:widowControl/>
        <w:spacing w:line="300" w:lineRule="auto"/>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（一）具有独立承担民事责任的能力； </w:t>
      </w:r>
    </w:p>
    <w:p w14:paraId="65774E0D">
      <w:pPr>
        <w:widowControl/>
        <w:spacing w:line="300" w:lineRule="auto"/>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　　（二）具有良好的商业信誉和健全的财务会计制度； </w:t>
      </w:r>
    </w:p>
    <w:p w14:paraId="37FAF08B">
      <w:pPr>
        <w:widowControl/>
        <w:spacing w:line="300" w:lineRule="auto"/>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　　（三）具有履行合同所必需的设备和专业技术能力； </w:t>
      </w:r>
    </w:p>
    <w:p w14:paraId="73F0D587">
      <w:pPr>
        <w:widowControl/>
        <w:spacing w:line="300" w:lineRule="auto"/>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 xml:space="preserve">　　（四）有依法缴纳税收和社会保障资金的良好记录； </w:t>
      </w:r>
    </w:p>
    <w:p w14:paraId="5A7FE6E8">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（五）参加采购活动前三年内，在经营活动中没有重大违法记录；</w:t>
      </w:r>
    </w:p>
    <w:p w14:paraId="140770BD">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（六）法律、行政法规规定的其他条件；</w:t>
      </w:r>
    </w:p>
    <w:p w14:paraId="442D255E">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（七）根据采购项目提出的特殊条件。</w:t>
      </w:r>
    </w:p>
    <w:p w14:paraId="5EEFB4C6">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二、完全接受和满足本项目招标文件规定，如对招标文件有异议，已经在投标截止时间届满前依法进行维权救济，不存在对招标文件有异议的同时又参加投标以求侥幸中标或者为实现其他非法目的的行为。</w:t>
      </w:r>
    </w:p>
    <w:p w14:paraId="28DBA62A">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三、参加本次招标采购活动，不存在与单位负责人为同一人或者存在直接控股、管理关系的其他投标人参与同一合同项下的采购活动的行为。</w:t>
      </w:r>
    </w:p>
    <w:p w14:paraId="1E610BEF">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四、参加本次招标采购活动，不存在和其他投标人在同一合同项下的采购项目中，同时委托同一个自然人、同一家庭的人员、同一单位的人员作为代理人的行为。</w:t>
      </w:r>
    </w:p>
    <w:p w14:paraId="4490B000">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五、投标文件中提供的能够给予我公司带来优惠、好处的任何材料资料和技术、服务、商务等响应承诺情况都是真实的、有效的、合法的。</w:t>
      </w:r>
    </w:p>
    <w:p w14:paraId="7216CE35">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六、如本项目评标过程中需要提供样品，则我公司提供的样品即为中标后将要提供的中标产品，我公司对提供样品的性能和质量负责，因样品存在缺陷或者不符合招标文件要求导致未能中标的，我公司愿意承担相应不利后果。</w:t>
      </w:r>
    </w:p>
    <w:p w14:paraId="3CC78124">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七、我公司完全同意招标文件中关于知识产权的说明，承诺由此造成的纠纷由我单位全权负责。</w:t>
      </w:r>
    </w:p>
    <w:p w14:paraId="2A90855F">
      <w:pPr>
        <w:pStyle w:val="34"/>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本公司对上述承诺的内容事项真实性负责。如经查实上述承诺的内容事项存在虚假，我公司愿意接受以提供虚假材料谋取中标追究法律责任。</w:t>
      </w:r>
    </w:p>
    <w:p w14:paraId="1B730F3F">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（公章）。</w:t>
      </w:r>
    </w:p>
    <w:p w14:paraId="37872A0D">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法定代表人（或授权代表）签字：</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7BC08FB4">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日    期：</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45A43264">
      <w:pPr>
        <w:spacing w:line="360" w:lineRule="auto"/>
        <w:jc w:val="left"/>
        <w:outlineLvl w:val="1"/>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page"/>
      </w:r>
      <w:bookmarkStart w:id="105" w:name="_Toc32276"/>
      <w:r>
        <w:rPr>
          <w:rFonts w:hint="eastAsia" w:ascii="仿宋" w:hAnsi="仿宋" w:eastAsia="仿宋" w:cs="仿宋"/>
          <w:b/>
          <w:sz w:val="28"/>
          <w:szCs w:val="28"/>
          <w:highlight w:val="none"/>
        </w:rPr>
        <w:t>格式4 投标函</w:t>
      </w:r>
      <w:bookmarkEnd w:id="105"/>
    </w:p>
    <w:p w14:paraId="0968425A">
      <w:pPr>
        <w:spacing w:line="300" w:lineRule="auto"/>
        <w:ind w:firstLine="480" w:firstLineChars="200"/>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投标函</w:t>
      </w:r>
    </w:p>
    <w:p w14:paraId="23BDFDA2">
      <w:pPr>
        <w:pStyle w:val="34"/>
        <w:spacing w:before="46" w:after="46" w:line="300" w:lineRule="auto"/>
        <w:ind w:firstLine="480"/>
        <w:rPr>
          <w:rFonts w:hint="eastAsia" w:ascii="仿宋" w:hAnsi="仿宋" w:eastAsia="仿宋" w:cs="仿宋"/>
          <w:sz w:val="24"/>
          <w:szCs w:val="24"/>
          <w:highlight w:val="none"/>
        </w:rPr>
      </w:pPr>
    </w:p>
    <w:p w14:paraId="2DE67806">
      <w:pPr>
        <w:pStyle w:val="34"/>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我方全面研究了“</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”项目（项目编号：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）招标文件，决定参加贵单位组织的本项目投标。我方授权</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（姓名、职务）代表我方</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（投标单位的名称）全权处理本项目投标的有关事宜。</w:t>
      </w:r>
    </w:p>
    <w:p w14:paraId="0E9E32BE">
      <w:pPr>
        <w:widowControl/>
        <w:spacing w:line="30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一、我方自愿按照招标文件规定的各项要求向采购人提供所需货物/服务，总投标价为人民币</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14:paraId="184F40D5">
      <w:pPr>
        <w:pStyle w:val="34"/>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二、一旦我方中标，我方将严格按照招标文件第五章的规定的所有要求，向招标人提供所需货物及服务，认真履行合同规定的责任和义务，并按照合同相关规定完成项目。</w:t>
      </w:r>
    </w:p>
    <w:p w14:paraId="2A651897">
      <w:pPr>
        <w:pStyle w:val="34"/>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三、我方为本项目提交的投标文件正本一份，副本</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份，电子版一份，用于开标唱标的“开标一览表”一份。</w:t>
      </w:r>
    </w:p>
    <w:p w14:paraId="0647CBB4">
      <w:pPr>
        <w:pStyle w:val="34"/>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四、我方已详细审查全部招标文件，包括修改文件（如有）以及全部参考资料和有关附件。我方已完全理解并同意放弃对此有不清楚、误解以及对招标文件内容质疑的权利。</w:t>
      </w:r>
    </w:p>
    <w:p w14:paraId="65A9FD28">
      <w:pPr>
        <w:pStyle w:val="34"/>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五、投标有效期：投标截止时间届满后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天。</w:t>
      </w:r>
    </w:p>
    <w:p w14:paraId="67141A94">
      <w:pPr>
        <w:pStyle w:val="34"/>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六、我方愿意提供贵单位可能另外要求的，与投标有关的文件资料，并保证我方已提供和将要提供的文件资料是真实、准确的并对其真实性、合法性承担一切法律责任。</w:t>
      </w:r>
    </w:p>
    <w:p w14:paraId="2DF72232">
      <w:pPr>
        <w:pStyle w:val="34"/>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七、我方完全同意按照招标文件的相关规定，支付招标代理服务费。</w:t>
      </w:r>
    </w:p>
    <w:p w14:paraId="2569EFE2">
      <w:pPr>
        <w:pStyle w:val="34"/>
        <w:numPr>
          <w:ilvl w:val="0"/>
          <w:numId w:val="3"/>
        </w:numPr>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我方完全理解招标人不一定将合同授予最低报价的投标人的行为。</w:t>
      </w:r>
    </w:p>
    <w:p w14:paraId="0B3C6F4E">
      <w:pPr>
        <w:pStyle w:val="34"/>
        <w:spacing w:before="46" w:after="46" w:line="300" w:lineRule="auto"/>
        <w:ind w:firstLine="480"/>
        <w:rPr>
          <w:rFonts w:hint="eastAsia" w:ascii="仿宋" w:hAnsi="仿宋" w:eastAsia="仿宋" w:cs="仿宋"/>
          <w:sz w:val="24"/>
          <w:szCs w:val="24"/>
          <w:highlight w:val="none"/>
        </w:rPr>
      </w:pPr>
    </w:p>
    <w:p w14:paraId="3978A26B">
      <w:pPr>
        <w:pStyle w:val="34"/>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投标人名称（公章）：                             通讯地址：</w:t>
      </w:r>
    </w:p>
    <w:p w14:paraId="5459924C">
      <w:pPr>
        <w:pStyle w:val="34"/>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法定代表人（或授权代表）签字：                   联系电话：</w:t>
      </w:r>
    </w:p>
    <w:p w14:paraId="39CA0804">
      <w:pPr>
        <w:pStyle w:val="34"/>
        <w:spacing w:before="46" w:after="46" w:line="300" w:lineRule="auto"/>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日    期：</w:t>
      </w:r>
    </w:p>
    <w:p w14:paraId="7692BF12">
      <w:pPr>
        <w:spacing w:line="360" w:lineRule="auto"/>
        <w:jc w:val="center"/>
        <w:rPr>
          <w:rFonts w:hint="eastAsia" w:ascii="仿宋" w:hAnsi="仿宋" w:eastAsia="仿宋" w:cs="仿宋"/>
          <w:sz w:val="24"/>
          <w:szCs w:val="24"/>
          <w:highlight w:val="none"/>
        </w:rPr>
      </w:pPr>
    </w:p>
    <w:p w14:paraId="45CFC6AA">
      <w:pPr>
        <w:spacing w:line="360" w:lineRule="auto"/>
        <w:jc w:val="center"/>
        <w:rPr>
          <w:rFonts w:hint="eastAsia" w:ascii="仿宋" w:hAnsi="仿宋" w:eastAsia="仿宋" w:cs="仿宋"/>
          <w:b/>
          <w:sz w:val="24"/>
          <w:szCs w:val="24"/>
          <w:highlight w:val="none"/>
        </w:rPr>
      </w:pPr>
    </w:p>
    <w:p w14:paraId="1F230664">
      <w:pPr>
        <w:spacing w:line="360" w:lineRule="auto"/>
        <w:rPr>
          <w:rFonts w:hint="eastAsia" w:ascii="仿宋" w:hAnsi="仿宋" w:eastAsia="仿宋" w:cs="仿宋"/>
          <w:sz w:val="24"/>
          <w:szCs w:val="24"/>
          <w:highlight w:val="none"/>
        </w:rPr>
        <w:sectPr>
          <w:footerReference r:id="rId14" w:type="first"/>
          <w:headerReference r:id="rId12" w:type="default"/>
          <w:footerReference r:id="rId13" w:type="default"/>
          <w:pgSz w:w="11850" w:h="16783"/>
          <w:pgMar w:top="1417" w:right="1134" w:bottom="1417" w:left="1134" w:header="851" w:footer="992" w:gutter="0"/>
          <w:pgNumType w:start="1"/>
          <w:cols w:space="0" w:num="1"/>
          <w:docGrid w:type="linesAndChars" w:linePitch="312" w:charSpace="0"/>
        </w:sectPr>
      </w:pPr>
    </w:p>
    <w:p w14:paraId="1FC17D80">
      <w:pPr>
        <w:spacing w:line="360" w:lineRule="auto"/>
        <w:jc w:val="left"/>
        <w:outlineLvl w:val="1"/>
        <w:rPr>
          <w:rFonts w:hint="eastAsia" w:ascii="仿宋" w:hAnsi="仿宋" w:eastAsia="仿宋" w:cs="仿宋"/>
          <w:b/>
          <w:sz w:val="28"/>
          <w:szCs w:val="28"/>
          <w:highlight w:val="none"/>
        </w:rPr>
      </w:pPr>
      <w:bookmarkStart w:id="106" w:name="_Toc6890"/>
      <w:r>
        <w:rPr>
          <w:rFonts w:hint="eastAsia" w:ascii="仿宋" w:hAnsi="仿宋" w:eastAsia="仿宋" w:cs="仿宋"/>
          <w:b/>
          <w:sz w:val="28"/>
          <w:szCs w:val="28"/>
          <w:highlight w:val="none"/>
        </w:rPr>
        <w:t>格式5 开标一览表</w:t>
      </w:r>
      <w:bookmarkEnd w:id="106"/>
    </w:p>
    <w:p w14:paraId="4B97BD46">
      <w:pPr>
        <w:spacing w:line="360" w:lineRule="auto"/>
        <w:jc w:val="center"/>
        <w:rPr>
          <w:rFonts w:hint="eastAsia" w:ascii="仿宋" w:hAnsi="仿宋" w:eastAsia="仿宋" w:cs="仿宋"/>
          <w:sz w:val="24"/>
          <w:szCs w:val="24"/>
          <w:highlight w:val="none"/>
        </w:rPr>
      </w:pPr>
      <w:r>
        <w:rPr>
          <w:rFonts w:hint="eastAsia" w:ascii="仿宋" w:hAnsi="仿宋" w:eastAsia="仿宋" w:cs="仿宋"/>
          <w:b/>
          <w:bCs/>
          <w:sz w:val="36"/>
          <w:szCs w:val="36"/>
          <w:highlight w:val="none"/>
        </w:rPr>
        <w:t>开标一览表</w:t>
      </w:r>
      <w:bookmarkStart w:id="107" w:name="_Toc19181"/>
    </w:p>
    <w:p w14:paraId="787C0F8A">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招标编号及包号（如分包）：</w:t>
      </w:r>
    </w:p>
    <w:tbl>
      <w:tblPr>
        <w:tblStyle w:val="22"/>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1843"/>
        <w:gridCol w:w="1785"/>
        <w:gridCol w:w="1548"/>
        <w:gridCol w:w="2074"/>
        <w:gridCol w:w="902"/>
      </w:tblGrid>
      <w:tr w14:paraId="026A1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80" w:type="dxa"/>
            <w:noWrap w:val="0"/>
            <w:vAlign w:val="center"/>
          </w:tcPr>
          <w:p w14:paraId="3F43A0F7">
            <w:pPr>
              <w:widowControl/>
              <w:spacing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843" w:type="dxa"/>
            <w:noWrap w:val="0"/>
            <w:vAlign w:val="center"/>
          </w:tcPr>
          <w:p w14:paraId="1F3BF426">
            <w:pPr>
              <w:widowControl/>
              <w:spacing w:line="360" w:lineRule="atLeast"/>
              <w:jc w:val="center"/>
              <w:outlineLvl w:val="1"/>
              <w:rPr>
                <w:rFonts w:hint="eastAsia" w:ascii="仿宋" w:hAnsi="仿宋" w:eastAsia="仿宋" w:cs="仿宋"/>
                <w:color w:val="auto"/>
                <w:sz w:val="24"/>
                <w:highlight w:val="none"/>
              </w:rPr>
            </w:pPr>
            <w:bookmarkStart w:id="108" w:name="_Toc8641"/>
            <w:r>
              <w:rPr>
                <w:rFonts w:hint="eastAsia" w:ascii="仿宋" w:hAnsi="仿宋" w:eastAsia="仿宋" w:cs="仿宋"/>
                <w:color w:val="auto"/>
                <w:sz w:val="24"/>
                <w:highlight w:val="none"/>
              </w:rPr>
              <w:t>货物名称</w:t>
            </w:r>
            <w:bookmarkEnd w:id="108"/>
          </w:p>
        </w:tc>
        <w:tc>
          <w:tcPr>
            <w:tcW w:w="1785" w:type="dxa"/>
            <w:noWrap w:val="0"/>
            <w:vAlign w:val="center"/>
          </w:tcPr>
          <w:p w14:paraId="1D811758">
            <w:pPr>
              <w:widowControl/>
              <w:spacing w:line="360" w:lineRule="atLeast"/>
              <w:jc w:val="center"/>
              <w:outlineLvl w:val="1"/>
              <w:rPr>
                <w:rFonts w:hint="eastAsia" w:ascii="仿宋" w:hAnsi="仿宋" w:eastAsia="仿宋" w:cs="仿宋"/>
                <w:color w:val="auto"/>
                <w:sz w:val="24"/>
                <w:highlight w:val="none"/>
              </w:rPr>
            </w:pPr>
            <w:bookmarkStart w:id="109" w:name="_Toc15610"/>
            <w:r>
              <w:rPr>
                <w:rFonts w:hint="eastAsia" w:ascii="仿宋" w:hAnsi="仿宋" w:eastAsia="仿宋" w:cs="仿宋"/>
                <w:color w:val="auto"/>
                <w:sz w:val="24"/>
                <w:highlight w:val="none"/>
              </w:rPr>
              <w:t>单位</w:t>
            </w:r>
            <w:bookmarkEnd w:id="109"/>
          </w:p>
        </w:tc>
        <w:tc>
          <w:tcPr>
            <w:tcW w:w="1548" w:type="dxa"/>
            <w:noWrap w:val="0"/>
            <w:vAlign w:val="center"/>
          </w:tcPr>
          <w:p w14:paraId="686A1446">
            <w:pPr>
              <w:widowControl/>
              <w:spacing w:line="360" w:lineRule="atLeast"/>
              <w:jc w:val="center"/>
              <w:outlineLvl w:val="1"/>
              <w:rPr>
                <w:rFonts w:hint="eastAsia" w:ascii="仿宋" w:hAnsi="仿宋" w:eastAsia="仿宋" w:cs="仿宋"/>
                <w:color w:val="auto"/>
                <w:sz w:val="24"/>
                <w:highlight w:val="none"/>
              </w:rPr>
            </w:pPr>
            <w:bookmarkStart w:id="110" w:name="_Toc3539"/>
            <w:r>
              <w:rPr>
                <w:rFonts w:hint="eastAsia" w:ascii="仿宋" w:hAnsi="仿宋" w:eastAsia="仿宋" w:cs="仿宋"/>
                <w:color w:val="auto"/>
                <w:sz w:val="24"/>
                <w:highlight w:val="none"/>
              </w:rPr>
              <w:t>数量</w:t>
            </w:r>
            <w:bookmarkEnd w:id="110"/>
          </w:p>
        </w:tc>
        <w:tc>
          <w:tcPr>
            <w:tcW w:w="2074" w:type="dxa"/>
            <w:noWrap w:val="0"/>
            <w:vAlign w:val="center"/>
          </w:tcPr>
          <w:p w14:paraId="1E96560E">
            <w:pPr>
              <w:widowControl/>
              <w:spacing w:line="360" w:lineRule="atLeast"/>
              <w:jc w:val="center"/>
              <w:outlineLvl w:val="1"/>
              <w:rPr>
                <w:rFonts w:hint="eastAsia" w:ascii="仿宋" w:hAnsi="仿宋" w:eastAsia="仿宋" w:cs="仿宋"/>
                <w:color w:val="auto"/>
                <w:sz w:val="24"/>
                <w:highlight w:val="none"/>
              </w:rPr>
            </w:pPr>
            <w:bookmarkStart w:id="111" w:name="_Toc11309"/>
            <w:r>
              <w:rPr>
                <w:rFonts w:hint="eastAsia" w:ascii="仿宋" w:hAnsi="仿宋" w:eastAsia="仿宋" w:cs="仿宋"/>
                <w:color w:val="auto"/>
                <w:sz w:val="24"/>
                <w:highlight w:val="none"/>
              </w:rPr>
              <w:t>投标总价</w:t>
            </w:r>
            <w:bookmarkEnd w:id="111"/>
          </w:p>
          <w:p w14:paraId="2EA3D57D">
            <w:pPr>
              <w:widowControl/>
              <w:spacing w:line="360" w:lineRule="atLeast"/>
              <w:jc w:val="center"/>
              <w:outlineLvl w:val="1"/>
              <w:rPr>
                <w:rFonts w:hint="eastAsia" w:ascii="仿宋" w:hAnsi="仿宋" w:eastAsia="仿宋" w:cs="仿宋"/>
                <w:color w:val="auto"/>
                <w:sz w:val="24"/>
                <w:highlight w:val="none"/>
              </w:rPr>
            </w:pPr>
            <w:bookmarkStart w:id="112" w:name="_Toc29981"/>
            <w:r>
              <w:rPr>
                <w:rFonts w:hint="eastAsia" w:ascii="仿宋" w:hAnsi="仿宋" w:eastAsia="仿宋" w:cs="仿宋"/>
                <w:color w:val="auto"/>
                <w:sz w:val="24"/>
                <w:highlight w:val="none"/>
              </w:rPr>
              <w:t>（万元）</w:t>
            </w:r>
            <w:bookmarkEnd w:id="112"/>
          </w:p>
        </w:tc>
        <w:tc>
          <w:tcPr>
            <w:tcW w:w="902" w:type="dxa"/>
            <w:noWrap w:val="0"/>
            <w:vAlign w:val="center"/>
          </w:tcPr>
          <w:p w14:paraId="024F5E0B">
            <w:pPr>
              <w:widowControl/>
              <w:spacing w:line="360" w:lineRule="atLeast"/>
              <w:ind w:left="-14" w:leftChars="-4" w:firstLine="84" w:firstLineChars="35"/>
              <w:jc w:val="center"/>
              <w:outlineLvl w:val="1"/>
              <w:rPr>
                <w:rFonts w:hint="eastAsia" w:ascii="仿宋" w:hAnsi="仿宋" w:eastAsia="仿宋" w:cs="仿宋"/>
                <w:color w:val="auto"/>
                <w:sz w:val="24"/>
                <w:highlight w:val="none"/>
              </w:rPr>
            </w:pPr>
            <w:bookmarkStart w:id="113" w:name="_Toc27202"/>
            <w:r>
              <w:rPr>
                <w:rFonts w:hint="eastAsia" w:ascii="仿宋" w:hAnsi="仿宋" w:eastAsia="仿宋" w:cs="仿宋"/>
                <w:color w:val="auto"/>
                <w:sz w:val="24"/>
                <w:highlight w:val="none"/>
              </w:rPr>
              <w:t>备注</w:t>
            </w:r>
            <w:bookmarkEnd w:id="113"/>
          </w:p>
        </w:tc>
      </w:tr>
      <w:tr w14:paraId="1202E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80" w:type="dxa"/>
            <w:noWrap w:val="0"/>
            <w:vAlign w:val="top"/>
          </w:tcPr>
          <w:p w14:paraId="7C450E0B">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843" w:type="dxa"/>
            <w:noWrap w:val="0"/>
            <w:vAlign w:val="center"/>
          </w:tcPr>
          <w:p w14:paraId="6D3B313E">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785" w:type="dxa"/>
            <w:noWrap w:val="0"/>
            <w:vAlign w:val="center"/>
          </w:tcPr>
          <w:p w14:paraId="50CEEFF1">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548" w:type="dxa"/>
            <w:noWrap w:val="0"/>
            <w:vAlign w:val="center"/>
          </w:tcPr>
          <w:p w14:paraId="739B9190">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2074" w:type="dxa"/>
            <w:noWrap w:val="0"/>
            <w:vAlign w:val="center"/>
          </w:tcPr>
          <w:p w14:paraId="6774CF02">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02" w:type="dxa"/>
            <w:noWrap w:val="0"/>
            <w:vAlign w:val="center"/>
          </w:tcPr>
          <w:p w14:paraId="322A2F34">
            <w:pPr>
              <w:widowControl/>
              <w:spacing w:line="360" w:lineRule="atLeast"/>
              <w:ind w:firstLine="470" w:firstLineChars="196"/>
              <w:jc w:val="left"/>
              <w:outlineLvl w:val="9"/>
              <w:rPr>
                <w:rFonts w:hint="eastAsia" w:ascii="仿宋" w:hAnsi="仿宋" w:eastAsia="仿宋" w:cs="仿宋"/>
                <w:color w:val="auto"/>
                <w:sz w:val="24"/>
                <w:highlight w:val="none"/>
              </w:rPr>
            </w:pPr>
          </w:p>
        </w:tc>
      </w:tr>
      <w:tr w14:paraId="66D7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80" w:type="dxa"/>
            <w:noWrap w:val="0"/>
            <w:vAlign w:val="top"/>
          </w:tcPr>
          <w:p w14:paraId="69AE20F1">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843" w:type="dxa"/>
            <w:noWrap w:val="0"/>
            <w:vAlign w:val="center"/>
          </w:tcPr>
          <w:p w14:paraId="3C63359A">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785" w:type="dxa"/>
            <w:noWrap w:val="0"/>
            <w:vAlign w:val="center"/>
          </w:tcPr>
          <w:p w14:paraId="62C0E7AA">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548" w:type="dxa"/>
            <w:noWrap w:val="0"/>
            <w:vAlign w:val="center"/>
          </w:tcPr>
          <w:p w14:paraId="087D0B69">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2074" w:type="dxa"/>
            <w:noWrap w:val="0"/>
            <w:vAlign w:val="center"/>
          </w:tcPr>
          <w:p w14:paraId="7AE82787">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02" w:type="dxa"/>
            <w:noWrap w:val="0"/>
            <w:vAlign w:val="center"/>
          </w:tcPr>
          <w:p w14:paraId="64DFFA64">
            <w:pPr>
              <w:widowControl/>
              <w:spacing w:line="360" w:lineRule="atLeast"/>
              <w:ind w:firstLine="470" w:firstLineChars="196"/>
              <w:jc w:val="left"/>
              <w:outlineLvl w:val="9"/>
              <w:rPr>
                <w:rFonts w:hint="eastAsia" w:ascii="仿宋" w:hAnsi="仿宋" w:eastAsia="仿宋" w:cs="仿宋"/>
                <w:color w:val="auto"/>
                <w:sz w:val="24"/>
                <w:highlight w:val="none"/>
              </w:rPr>
            </w:pPr>
          </w:p>
        </w:tc>
      </w:tr>
      <w:tr w14:paraId="08646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80" w:type="dxa"/>
            <w:tcBorders>
              <w:right w:val="single" w:color="auto" w:sz="4" w:space="0"/>
            </w:tcBorders>
            <w:noWrap w:val="0"/>
            <w:vAlign w:val="top"/>
          </w:tcPr>
          <w:p w14:paraId="209284E0">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843" w:type="dxa"/>
            <w:tcBorders>
              <w:left w:val="single" w:color="auto" w:sz="4" w:space="0"/>
            </w:tcBorders>
            <w:noWrap w:val="0"/>
            <w:vAlign w:val="center"/>
          </w:tcPr>
          <w:p w14:paraId="723B04D3">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785" w:type="dxa"/>
            <w:noWrap w:val="0"/>
            <w:vAlign w:val="center"/>
          </w:tcPr>
          <w:p w14:paraId="5F70CD9B">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548" w:type="dxa"/>
            <w:noWrap w:val="0"/>
            <w:vAlign w:val="center"/>
          </w:tcPr>
          <w:p w14:paraId="5456260C">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2074" w:type="dxa"/>
            <w:noWrap w:val="0"/>
            <w:vAlign w:val="center"/>
          </w:tcPr>
          <w:p w14:paraId="69A0AE0E">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02" w:type="dxa"/>
            <w:noWrap w:val="0"/>
            <w:vAlign w:val="center"/>
          </w:tcPr>
          <w:p w14:paraId="69567C09">
            <w:pPr>
              <w:widowControl/>
              <w:spacing w:line="360" w:lineRule="atLeast"/>
              <w:ind w:firstLine="470" w:firstLineChars="196"/>
              <w:jc w:val="left"/>
              <w:outlineLvl w:val="9"/>
              <w:rPr>
                <w:rFonts w:hint="eastAsia" w:ascii="仿宋" w:hAnsi="仿宋" w:eastAsia="仿宋" w:cs="仿宋"/>
                <w:color w:val="auto"/>
                <w:sz w:val="24"/>
                <w:highlight w:val="none"/>
              </w:rPr>
            </w:pPr>
          </w:p>
        </w:tc>
      </w:tr>
      <w:tr w14:paraId="7FD1A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132" w:type="dxa"/>
            <w:gridSpan w:val="6"/>
            <w:noWrap w:val="0"/>
            <w:vAlign w:val="top"/>
          </w:tcPr>
          <w:p w14:paraId="43B7C9F5">
            <w:pPr>
              <w:widowControl/>
              <w:spacing w:line="360" w:lineRule="atLeast"/>
              <w:jc w:val="left"/>
              <w:outlineLvl w:val="1"/>
              <w:rPr>
                <w:rFonts w:hint="eastAsia" w:ascii="仿宋" w:hAnsi="仿宋" w:eastAsia="仿宋" w:cs="仿宋"/>
                <w:color w:val="auto"/>
                <w:sz w:val="24"/>
                <w:highlight w:val="none"/>
              </w:rPr>
            </w:pPr>
            <w:bookmarkStart w:id="114" w:name="_Toc10019"/>
            <w:r>
              <w:rPr>
                <w:rFonts w:hint="eastAsia" w:ascii="仿宋" w:hAnsi="仿宋" w:eastAsia="仿宋" w:cs="仿宋"/>
                <w:color w:val="auto"/>
                <w:sz w:val="24"/>
                <w:highlight w:val="none"/>
              </w:rPr>
              <w:t>报价合计（万元）：小写：          大写：</w:t>
            </w:r>
            <w:bookmarkEnd w:id="114"/>
          </w:p>
        </w:tc>
      </w:tr>
    </w:tbl>
    <w:p w14:paraId="3E133EE6">
      <w:pPr>
        <w:pStyle w:val="2"/>
        <w:rPr>
          <w:rFonts w:hint="eastAsia" w:ascii="仿宋" w:hAnsi="仿宋" w:eastAsia="仿宋" w:cs="仿宋"/>
          <w:color w:val="auto"/>
          <w:highlight w:val="none"/>
        </w:rPr>
      </w:pPr>
    </w:p>
    <w:p w14:paraId="391F4140">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注：1. 报价应是最终用户验收合格后的总价，包括产品运输、保险、代理、安装调试、培训、税费、系统集成费用和招标文件规定的其它费用。 </w:t>
      </w:r>
    </w:p>
    <w:p w14:paraId="030D0D84">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2.“开标一览表”为多页的，每页均需由法定代表人/单位负责人或授权代表签字并盖投标人印章。</w:t>
      </w:r>
    </w:p>
    <w:p w14:paraId="5142AD9E">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3、开标一览表总计大写金额应与后面所附的分项明细报价表总计大写金额一致</w:t>
      </w:r>
    </w:p>
    <w:p w14:paraId="42D2470C">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4、报价</w:t>
      </w:r>
      <w:r>
        <w:rPr>
          <w:rFonts w:hint="eastAsia" w:ascii="仿宋" w:hAnsi="仿宋" w:eastAsia="仿宋" w:cs="仿宋"/>
          <w:bCs/>
          <w:color w:val="auto"/>
          <w:sz w:val="24"/>
          <w:highlight w:val="none"/>
          <w:lang w:eastAsia="zh-CN"/>
        </w:rPr>
        <w:t>计算结果请采取“四舍五入法”保留到元。如果未保留到元的，由评审委直接按“四舍五入法”调整、修正保留到元，由此产生的不利后果由供应商自行承担。如果供应商拒绝评审委的修正结果的，其报价作无效处理。</w:t>
      </w:r>
    </w:p>
    <w:p w14:paraId="3F2CC4DB">
      <w:pPr>
        <w:spacing w:line="360" w:lineRule="auto"/>
        <w:jc w:val="left"/>
        <w:outlineLvl w:val="1"/>
        <w:rPr>
          <w:rFonts w:hint="eastAsia" w:ascii="仿宋" w:hAnsi="仿宋" w:eastAsia="仿宋" w:cs="仿宋"/>
          <w:sz w:val="24"/>
          <w:szCs w:val="24"/>
          <w:highlight w:val="none"/>
        </w:rPr>
      </w:pPr>
    </w:p>
    <w:p w14:paraId="206DA5F4">
      <w:pPr>
        <w:spacing w:line="360" w:lineRule="auto"/>
        <w:jc w:val="left"/>
        <w:outlineLvl w:val="1"/>
        <w:rPr>
          <w:rFonts w:hint="eastAsia" w:ascii="仿宋" w:hAnsi="仿宋" w:eastAsia="仿宋" w:cs="仿宋"/>
          <w:sz w:val="24"/>
          <w:szCs w:val="24"/>
          <w:highlight w:val="none"/>
        </w:rPr>
      </w:pPr>
    </w:p>
    <w:p w14:paraId="09022E0E">
      <w:pPr>
        <w:spacing w:line="360" w:lineRule="auto"/>
        <w:jc w:val="left"/>
        <w:outlineLvl w:val="1"/>
        <w:rPr>
          <w:rFonts w:hint="eastAsia" w:ascii="仿宋" w:hAnsi="仿宋" w:eastAsia="仿宋" w:cs="仿宋"/>
          <w:sz w:val="24"/>
          <w:szCs w:val="24"/>
          <w:highlight w:val="none"/>
        </w:rPr>
      </w:pPr>
    </w:p>
    <w:p w14:paraId="14C11387">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投标人名称</w:t>
      </w:r>
      <w:r>
        <w:rPr>
          <w:rFonts w:hint="eastAsia" w:ascii="仿宋" w:hAnsi="仿宋" w:eastAsia="仿宋" w:cs="仿宋"/>
          <w:bCs/>
          <w:color w:val="auto"/>
          <w:sz w:val="24"/>
          <w:highlight w:val="none"/>
          <w:lang w:eastAsia="zh-CN"/>
        </w:rPr>
        <w:t>（公章）</w:t>
      </w:r>
      <w:r>
        <w:rPr>
          <w:rFonts w:hint="eastAsia" w:ascii="仿宋" w:hAnsi="仿宋" w:eastAsia="仿宋" w:cs="仿宋"/>
          <w:bCs/>
          <w:color w:val="auto"/>
          <w:sz w:val="24"/>
          <w:highlight w:val="none"/>
        </w:rPr>
        <w:t>：</w:t>
      </w:r>
    </w:p>
    <w:p w14:paraId="2DF9EC99">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法定代表人/单位负责人或授权代表（签字或加盖个人名章）：</w:t>
      </w:r>
    </w:p>
    <w:p w14:paraId="5B6A9325">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日    期：</w:t>
      </w:r>
    </w:p>
    <w:p w14:paraId="0F830939">
      <w:pPr>
        <w:spacing w:line="360" w:lineRule="auto"/>
        <w:jc w:val="left"/>
        <w:outlineLvl w:val="1"/>
        <w:rPr>
          <w:rFonts w:hint="eastAsia" w:ascii="仿宋" w:hAnsi="仿宋" w:eastAsia="仿宋" w:cs="仿宋"/>
          <w:sz w:val="24"/>
          <w:szCs w:val="24"/>
          <w:highlight w:val="none"/>
        </w:rPr>
      </w:pPr>
    </w:p>
    <w:p w14:paraId="7A56BE7A">
      <w:pPr>
        <w:pStyle w:val="2"/>
        <w:rPr>
          <w:rFonts w:hint="eastAsia" w:ascii="仿宋" w:hAnsi="仿宋" w:eastAsia="仿宋" w:cs="仿宋"/>
          <w:sz w:val="24"/>
          <w:szCs w:val="24"/>
          <w:highlight w:val="none"/>
        </w:rPr>
      </w:pPr>
    </w:p>
    <w:p w14:paraId="777D2DDB">
      <w:pPr>
        <w:rPr>
          <w:rFonts w:hint="eastAsia" w:ascii="仿宋" w:hAnsi="仿宋" w:eastAsia="仿宋" w:cs="仿宋"/>
          <w:sz w:val="24"/>
          <w:szCs w:val="24"/>
          <w:highlight w:val="none"/>
        </w:rPr>
      </w:pPr>
    </w:p>
    <w:p w14:paraId="3FF2F3B3">
      <w:pPr>
        <w:pStyle w:val="2"/>
        <w:rPr>
          <w:rFonts w:hint="eastAsia" w:ascii="仿宋" w:hAnsi="仿宋" w:eastAsia="仿宋" w:cs="仿宋"/>
          <w:sz w:val="24"/>
          <w:szCs w:val="24"/>
          <w:highlight w:val="none"/>
        </w:rPr>
      </w:pPr>
    </w:p>
    <w:p w14:paraId="567BCE9F">
      <w:pPr>
        <w:rPr>
          <w:rFonts w:hint="eastAsia"/>
        </w:rPr>
      </w:pPr>
    </w:p>
    <w:p w14:paraId="1653B7E0">
      <w:pPr>
        <w:pStyle w:val="2"/>
        <w:rPr>
          <w:rFonts w:hint="eastAsia" w:ascii="仿宋" w:hAnsi="仿宋" w:eastAsia="仿宋" w:cs="仿宋"/>
          <w:sz w:val="24"/>
          <w:szCs w:val="24"/>
          <w:highlight w:val="none"/>
        </w:rPr>
      </w:pPr>
    </w:p>
    <w:p w14:paraId="538A0AEC">
      <w:pPr>
        <w:spacing w:beforeLines="50" w:afterLines="50" w:line="240" w:lineRule="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格式</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1</w:t>
      </w:r>
    </w:p>
    <w:p w14:paraId="02374323">
      <w:pPr>
        <w:widowControl/>
        <w:spacing w:line="360" w:lineRule="atLeast"/>
        <w:jc w:val="center"/>
        <w:outlineLvl w:val="1"/>
        <w:rPr>
          <w:rFonts w:hint="eastAsia" w:ascii="仿宋" w:hAnsi="仿宋" w:eastAsia="仿宋" w:cs="仿宋"/>
          <w:color w:val="auto"/>
          <w:sz w:val="32"/>
          <w:szCs w:val="32"/>
          <w:highlight w:val="none"/>
          <w:lang w:eastAsia="zh-CN"/>
        </w:rPr>
      </w:pPr>
      <w:bookmarkStart w:id="115" w:name="_Toc22408"/>
      <w:bookmarkStart w:id="116" w:name="_Toc7541"/>
      <w:bookmarkStart w:id="117" w:name="_Toc11096"/>
      <w:r>
        <w:rPr>
          <w:rFonts w:hint="eastAsia" w:ascii="仿宋" w:hAnsi="仿宋" w:eastAsia="仿宋" w:cs="仿宋"/>
          <w:color w:val="auto"/>
          <w:sz w:val="32"/>
          <w:szCs w:val="32"/>
          <w:highlight w:val="none"/>
        </w:rPr>
        <w:t>分项报价明细表</w:t>
      </w:r>
      <w:bookmarkEnd w:id="115"/>
      <w:bookmarkEnd w:id="116"/>
      <w:bookmarkEnd w:id="117"/>
    </w:p>
    <w:p w14:paraId="1EFBED9B">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招标编号及包号：</w:t>
      </w:r>
    </w:p>
    <w:tbl>
      <w:tblPr>
        <w:tblStyle w:val="22"/>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867"/>
        <w:gridCol w:w="867"/>
        <w:gridCol w:w="1293"/>
        <w:gridCol w:w="773"/>
        <w:gridCol w:w="1334"/>
        <w:gridCol w:w="760"/>
        <w:gridCol w:w="960"/>
        <w:gridCol w:w="1266"/>
        <w:gridCol w:w="690"/>
      </w:tblGrid>
      <w:tr w14:paraId="58613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3" w:hRule="exact"/>
          <w:jc w:val="center"/>
        </w:trPr>
        <w:tc>
          <w:tcPr>
            <w:tcW w:w="610" w:type="dxa"/>
            <w:noWrap w:val="0"/>
            <w:vAlign w:val="center"/>
          </w:tcPr>
          <w:p w14:paraId="68AB1764">
            <w:pPr>
              <w:widowControl/>
              <w:spacing w:line="360" w:lineRule="atLeast"/>
              <w:outlineLvl w:val="1"/>
              <w:rPr>
                <w:rFonts w:hint="eastAsia" w:ascii="仿宋" w:hAnsi="仿宋" w:eastAsia="仿宋" w:cs="仿宋"/>
                <w:color w:val="auto"/>
                <w:sz w:val="24"/>
                <w:highlight w:val="none"/>
              </w:rPr>
            </w:pPr>
            <w:bookmarkStart w:id="118" w:name="_Toc8599"/>
            <w:r>
              <w:rPr>
                <w:rFonts w:hint="eastAsia" w:ascii="仿宋" w:hAnsi="仿宋" w:eastAsia="仿宋" w:cs="仿宋"/>
                <w:color w:val="auto"/>
                <w:sz w:val="24"/>
                <w:highlight w:val="none"/>
              </w:rPr>
              <w:t>序号</w:t>
            </w:r>
            <w:bookmarkEnd w:id="118"/>
          </w:p>
        </w:tc>
        <w:tc>
          <w:tcPr>
            <w:tcW w:w="867" w:type="dxa"/>
            <w:noWrap w:val="0"/>
            <w:vAlign w:val="center"/>
          </w:tcPr>
          <w:p w14:paraId="477A847E">
            <w:pPr>
              <w:widowControl/>
              <w:spacing w:line="360" w:lineRule="atLeast"/>
              <w:jc w:val="center"/>
              <w:outlineLvl w:val="1"/>
              <w:rPr>
                <w:rFonts w:hint="eastAsia" w:ascii="仿宋" w:hAnsi="仿宋" w:eastAsia="仿宋" w:cs="仿宋"/>
                <w:color w:val="auto"/>
                <w:sz w:val="24"/>
                <w:highlight w:val="none"/>
              </w:rPr>
            </w:pPr>
            <w:bookmarkStart w:id="119" w:name="_Toc2611"/>
            <w:r>
              <w:rPr>
                <w:rFonts w:hint="eastAsia" w:ascii="仿宋" w:hAnsi="仿宋" w:eastAsia="仿宋" w:cs="仿宋"/>
                <w:color w:val="auto"/>
                <w:sz w:val="24"/>
                <w:highlight w:val="none"/>
              </w:rPr>
              <w:t>产品名称</w:t>
            </w:r>
            <w:bookmarkEnd w:id="119"/>
          </w:p>
        </w:tc>
        <w:tc>
          <w:tcPr>
            <w:tcW w:w="867" w:type="dxa"/>
            <w:noWrap w:val="0"/>
            <w:vAlign w:val="center"/>
          </w:tcPr>
          <w:p w14:paraId="5D2990EB">
            <w:pPr>
              <w:widowControl/>
              <w:spacing w:line="360" w:lineRule="atLeast"/>
              <w:jc w:val="center"/>
              <w:outlineLvl w:val="1"/>
              <w:rPr>
                <w:rFonts w:hint="eastAsia" w:ascii="仿宋" w:hAnsi="仿宋" w:eastAsia="仿宋" w:cs="仿宋"/>
                <w:color w:val="auto"/>
                <w:sz w:val="24"/>
                <w:highlight w:val="none"/>
              </w:rPr>
            </w:pPr>
            <w:bookmarkStart w:id="120" w:name="_Toc12918"/>
            <w:r>
              <w:rPr>
                <w:rFonts w:hint="eastAsia" w:ascii="仿宋" w:hAnsi="仿宋" w:eastAsia="仿宋" w:cs="仿宋"/>
                <w:color w:val="auto"/>
                <w:sz w:val="24"/>
                <w:highlight w:val="none"/>
              </w:rPr>
              <w:t>规格型号</w:t>
            </w:r>
            <w:bookmarkEnd w:id="120"/>
          </w:p>
        </w:tc>
        <w:tc>
          <w:tcPr>
            <w:tcW w:w="1293" w:type="dxa"/>
            <w:noWrap w:val="0"/>
            <w:vAlign w:val="center"/>
          </w:tcPr>
          <w:p w14:paraId="3FC8B848">
            <w:pPr>
              <w:widowControl/>
              <w:spacing w:line="360" w:lineRule="atLeast"/>
              <w:jc w:val="center"/>
              <w:outlineLvl w:val="1"/>
              <w:rPr>
                <w:rFonts w:hint="eastAsia" w:ascii="仿宋" w:hAnsi="仿宋" w:eastAsia="仿宋" w:cs="仿宋"/>
                <w:color w:val="auto"/>
                <w:sz w:val="24"/>
                <w:highlight w:val="none"/>
              </w:rPr>
            </w:pPr>
            <w:bookmarkStart w:id="121" w:name="_Toc16851"/>
            <w:r>
              <w:rPr>
                <w:rFonts w:hint="eastAsia" w:ascii="仿宋" w:hAnsi="仿宋" w:eastAsia="仿宋" w:cs="仿宋"/>
                <w:color w:val="auto"/>
                <w:sz w:val="24"/>
                <w:highlight w:val="none"/>
              </w:rPr>
              <w:t>制造商/品牌</w:t>
            </w:r>
            <w:bookmarkEnd w:id="121"/>
          </w:p>
        </w:tc>
        <w:tc>
          <w:tcPr>
            <w:tcW w:w="773" w:type="dxa"/>
            <w:noWrap w:val="0"/>
            <w:vAlign w:val="center"/>
          </w:tcPr>
          <w:p w14:paraId="70BABD13">
            <w:pPr>
              <w:widowControl/>
              <w:spacing w:line="360" w:lineRule="atLeast"/>
              <w:jc w:val="center"/>
              <w:outlineLvl w:val="1"/>
              <w:rPr>
                <w:rFonts w:hint="eastAsia" w:ascii="仿宋" w:hAnsi="仿宋" w:eastAsia="仿宋" w:cs="仿宋"/>
                <w:color w:val="auto"/>
                <w:sz w:val="24"/>
                <w:highlight w:val="none"/>
              </w:rPr>
            </w:pPr>
            <w:bookmarkStart w:id="122" w:name="_Toc12286"/>
            <w:r>
              <w:rPr>
                <w:rFonts w:hint="eastAsia" w:ascii="仿宋" w:hAnsi="仿宋" w:eastAsia="仿宋" w:cs="仿宋"/>
                <w:color w:val="auto"/>
                <w:sz w:val="24"/>
                <w:highlight w:val="none"/>
              </w:rPr>
              <w:t>单位</w:t>
            </w:r>
            <w:bookmarkEnd w:id="122"/>
          </w:p>
        </w:tc>
        <w:tc>
          <w:tcPr>
            <w:tcW w:w="1334" w:type="dxa"/>
            <w:noWrap w:val="0"/>
            <w:vAlign w:val="center"/>
          </w:tcPr>
          <w:p w14:paraId="1B4EC005">
            <w:pPr>
              <w:widowControl/>
              <w:spacing w:line="360" w:lineRule="atLeast"/>
              <w:jc w:val="center"/>
              <w:outlineLvl w:val="1"/>
              <w:rPr>
                <w:rFonts w:hint="eastAsia" w:ascii="仿宋" w:hAnsi="仿宋" w:eastAsia="仿宋" w:cs="仿宋"/>
                <w:color w:val="auto"/>
                <w:sz w:val="24"/>
                <w:highlight w:val="none"/>
              </w:rPr>
            </w:pPr>
            <w:bookmarkStart w:id="123" w:name="_Toc12973"/>
            <w:r>
              <w:rPr>
                <w:rFonts w:hint="eastAsia" w:ascii="仿宋" w:hAnsi="仿宋" w:eastAsia="仿宋" w:cs="仿宋"/>
                <w:color w:val="auto"/>
                <w:sz w:val="24"/>
                <w:highlight w:val="none"/>
              </w:rPr>
              <w:t>数量</w:t>
            </w:r>
            <w:bookmarkEnd w:id="123"/>
          </w:p>
        </w:tc>
        <w:tc>
          <w:tcPr>
            <w:tcW w:w="760" w:type="dxa"/>
            <w:noWrap w:val="0"/>
            <w:vAlign w:val="center"/>
          </w:tcPr>
          <w:p w14:paraId="731074CF">
            <w:pPr>
              <w:widowControl/>
              <w:spacing w:line="360" w:lineRule="atLeast"/>
              <w:jc w:val="center"/>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单价</w:t>
            </w:r>
          </w:p>
        </w:tc>
        <w:tc>
          <w:tcPr>
            <w:tcW w:w="960" w:type="dxa"/>
            <w:noWrap w:val="0"/>
            <w:vAlign w:val="center"/>
          </w:tcPr>
          <w:p w14:paraId="2220FC3E">
            <w:pPr>
              <w:widowControl/>
              <w:spacing w:line="360" w:lineRule="atLeast"/>
              <w:jc w:val="center"/>
              <w:outlineLvl w:val="1"/>
              <w:rPr>
                <w:rFonts w:hint="eastAsia" w:ascii="仿宋" w:hAnsi="仿宋" w:eastAsia="仿宋" w:cs="仿宋"/>
                <w:color w:val="auto"/>
                <w:sz w:val="24"/>
                <w:highlight w:val="none"/>
              </w:rPr>
            </w:pPr>
            <w:bookmarkStart w:id="124" w:name="_Toc14118"/>
            <w:r>
              <w:rPr>
                <w:rFonts w:hint="eastAsia" w:ascii="仿宋" w:hAnsi="仿宋" w:eastAsia="仿宋" w:cs="仿宋"/>
                <w:color w:val="auto"/>
                <w:sz w:val="24"/>
                <w:highlight w:val="none"/>
              </w:rPr>
              <w:t>金额（元）</w:t>
            </w:r>
            <w:bookmarkEnd w:id="124"/>
          </w:p>
        </w:tc>
        <w:tc>
          <w:tcPr>
            <w:tcW w:w="1266" w:type="dxa"/>
            <w:noWrap w:val="0"/>
            <w:vAlign w:val="center"/>
          </w:tcPr>
          <w:p w14:paraId="5098DD73">
            <w:pPr>
              <w:spacing w:line="260" w:lineRule="exact"/>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是否</w:t>
            </w:r>
          </w:p>
          <w:p w14:paraId="219D2FF1">
            <w:pPr>
              <w:spacing w:line="260" w:lineRule="exact"/>
              <w:jc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进口产品</w:t>
            </w:r>
          </w:p>
        </w:tc>
        <w:tc>
          <w:tcPr>
            <w:tcW w:w="690" w:type="dxa"/>
            <w:noWrap w:val="0"/>
            <w:vAlign w:val="center"/>
          </w:tcPr>
          <w:p w14:paraId="43D98FD9">
            <w:pPr>
              <w:widowControl/>
              <w:spacing w:line="360" w:lineRule="atLeast"/>
              <w:outlineLvl w:val="1"/>
              <w:rPr>
                <w:rFonts w:hint="eastAsia" w:ascii="仿宋" w:hAnsi="仿宋" w:eastAsia="仿宋" w:cs="仿宋"/>
                <w:color w:val="auto"/>
                <w:sz w:val="24"/>
                <w:highlight w:val="none"/>
              </w:rPr>
            </w:pPr>
            <w:bookmarkStart w:id="125" w:name="_Toc2132"/>
            <w:r>
              <w:rPr>
                <w:rFonts w:hint="eastAsia" w:ascii="仿宋" w:hAnsi="仿宋" w:eastAsia="仿宋" w:cs="仿宋"/>
                <w:color w:val="auto"/>
                <w:sz w:val="24"/>
                <w:highlight w:val="none"/>
              </w:rPr>
              <w:t>备注</w:t>
            </w:r>
            <w:bookmarkEnd w:id="125"/>
          </w:p>
        </w:tc>
      </w:tr>
      <w:tr w14:paraId="47B8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10" w:type="dxa"/>
            <w:noWrap w:val="0"/>
            <w:vAlign w:val="center"/>
          </w:tcPr>
          <w:p w14:paraId="40BC8E0C">
            <w:pPr>
              <w:snapToGrid w:val="0"/>
              <w:spacing w:line="360" w:lineRule="auto"/>
              <w:jc w:val="center"/>
              <w:rPr>
                <w:rFonts w:hint="eastAsia" w:ascii="仿宋" w:hAnsi="仿宋" w:eastAsia="仿宋" w:cs="仿宋"/>
                <w:color w:val="auto"/>
                <w:sz w:val="24"/>
                <w:highlight w:val="none"/>
              </w:rPr>
            </w:pPr>
          </w:p>
        </w:tc>
        <w:tc>
          <w:tcPr>
            <w:tcW w:w="867" w:type="dxa"/>
            <w:noWrap w:val="0"/>
            <w:vAlign w:val="center"/>
          </w:tcPr>
          <w:p w14:paraId="6E0E7AD6">
            <w:pPr>
              <w:adjustRightInd w:val="0"/>
              <w:snapToGrid w:val="0"/>
              <w:spacing w:line="360" w:lineRule="auto"/>
              <w:jc w:val="center"/>
              <w:rPr>
                <w:rFonts w:hint="eastAsia" w:ascii="仿宋" w:hAnsi="仿宋" w:eastAsia="仿宋" w:cs="仿宋"/>
                <w:color w:val="auto"/>
                <w:sz w:val="24"/>
                <w:highlight w:val="none"/>
              </w:rPr>
            </w:pPr>
          </w:p>
        </w:tc>
        <w:tc>
          <w:tcPr>
            <w:tcW w:w="867" w:type="dxa"/>
            <w:noWrap w:val="0"/>
            <w:vAlign w:val="center"/>
          </w:tcPr>
          <w:p w14:paraId="5E843645">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93" w:type="dxa"/>
            <w:noWrap w:val="0"/>
            <w:vAlign w:val="center"/>
          </w:tcPr>
          <w:p w14:paraId="0C00D6BE">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73" w:type="dxa"/>
            <w:noWrap w:val="0"/>
            <w:vAlign w:val="center"/>
          </w:tcPr>
          <w:p w14:paraId="26FB7CD1">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334" w:type="dxa"/>
            <w:noWrap w:val="0"/>
            <w:vAlign w:val="center"/>
          </w:tcPr>
          <w:p w14:paraId="6AD7A34C">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60" w:type="dxa"/>
            <w:noWrap w:val="0"/>
            <w:vAlign w:val="center"/>
          </w:tcPr>
          <w:p w14:paraId="1E7D3A3A">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60" w:type="dxa"/>
            <w:noWrap w:val="0"/>
            <w:vAlign w:val="center"/>
          </w:tcPr>
          <w:p w14:paraId="6FE34251">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66" w:type="dxa"/>
            <w:noWrap w:val="0"/>
            <w:vAlign w:val="center"/>
          </w:tcPr>
          <w:p w14:paraId="663A27CE">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690" w:type="dxa"/>
            <w:noWrap w:val="0"/>
            <w:vAlign w:val="center"/>
          </w:tcPr>
          <w:p w14:paraId="51AFA0A1">
            <w:pPr>
              <w:widowControl/>
              <w:spacing w:line="360" w:lineRule="atLeast"/>
              <w:ind w:firstLine="470" w:firstLineChars="196"/>
              <w:jc w:val="left"/>
              <w:outlineLvl w:val="9"/>
              <w:rPr>
                <w:rFonts w:hint="eastAsia" w:ascii="仿宋" w:hAnsi="仿宋" w:eastAsia="仿宋" w:cs="仿宋"/>
                <w:color w:val="auto"/>
                <w:sz w:val="24"/>
                <w:highlight w:val="none"/>
              </w:rPr>
            </w:pPr>
          </w:p>
        </w:tc>
      </w:tr>
      <w:tr w14:paraId="7BC66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10" w:type="dxa"/>
            <w:noWrap w:val="0"/>
            <w:vAlign w:val="center"/>
          </w:tcPr>
          <w:p w14:paraId="46635D84">
            <w:pPr>
              <w:snapToGrid w:val="0"/>
              <w:spacing w:line="360" w:lineRule="auto"/>
              <w:jc w:val="center"/>
              <w:rPr>
                <w:rFonts w:hint="eastAsia" w:ascii="仿宋" w:hAnsi="仿宋" w:eastAsia="仿宋" w:cs="仿宋"/>
                <w:color w:val="auto"/>
                <w:sz w:val="24"/>
                <w:highlight w:val="none"/>
              </w:rPr>
            </w:pPr>
          </w:p>
        </w:tc>
        <w:tc>
          <w:tcPr>
            <w:tcW w:w="867" w:type="dxa"/>
            <w:noWrap w:val="0"/>
            <w:vAlign w:val="center"/>
          </w:tcPr>
          <w:p w14:paraId="59E88356">
            <w:pPr>
              <w:spacing w:line="360" w:lineRule="auto"/>
              <w:jc w:val="center"/>
              <w:rPr>
                <w:rFonts w:hint="eastAsia" w:ascii="仿宋" w:hAnsi="仿宋" w:eastAsia="仿宋" w:cs="仿宋"/>
                <w:color w:val="auto"/>
                <w:sz w:val="24"/>
                <w:highlight w:val="none"/>
              </w:rPr>
            </w:pPr>
          </w:p>
        </w:tc>
        <w:tc>
          <w:tcPr>
            <w:tcW w:w="867" w:type="dxa"/>
            <w:noWrap w:val="0"/>
            <w:vAlign w:val="center"/>
          </w:tcPr>
          <w:p w14:paraId="05EFF697">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93" w:type="dxa"/>
            <w:noWrap w:val="0"/>
            <w:vAlign w:val="center"/>
          </w:tcPr>
          <w:p w14:paraId="2D701ECE">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73" w:type="dxa"/>
            <w:noWrap w:val="0"/>
            <w:vAlign w:val="center"/>
          </w:tcPr>
          <w:p w14:paraId="614E02B1">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334" w:type="dxa"/>
            <w:noWrap w:val="0"/>
            <w:vAlign w:val="center"/>
          </w:tcPr>
          <w:p w14:paraId="7B1A1B3A">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60" w:type="dxa"/>
            <w:noWrap w:val="0"/>
            <w:vAlign w:val="center"/>
          </w:tcPr>
          <w:p w14:paraId="12B9BFEE">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60" w:type="dxa"/>
            <w:noWrap w:val="0"/>
            <w:vAlign w:val="center"/>
          </w:tcPr>
          <w:p w14:paraId="452530AD">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66" w:type="dxa"/>
            <w:noWrap w:val="0"/>
            <w:vAlign w:val="center"/>
          </w:tcPr>
          <w:p w14:paraId="53EA6AEF">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690" w:type="dxa"/>
            <w:noWrap w:val="0"/>
            <w:vAlign w:val="center"/>
          </w:tcPr>
          <w:p w14:paraId="2785BF41">
            <w:pPr>
              <w:widowControl/>
              <w:spacing w:line="360" w:lineRule="atLeast"/>
              <w:ind w:firstLine="470" w:firstLineChars="196"/>
              <w:jc w:val="left"/>
              <w:outlineLvl w:val="9"/>
              <w:rPr>
                <w:rFonts w:hint="eastAsia" w:ascii="仿宋" w:hAnsi="仿宋" w:eastAsia="仿宋" w:cs="仿宋"/>
                <w:color w:val="auto"/>
                <w:sz w:val="24"/>
                <w:highlight w:val="none"/>
              </w:rPr>
            </w:pPr>
          </w:p>
        </w:tc>
      </w:tr>
      <w:tr w14:paraId="47E60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10" w:type="dxa"/>
            <w:noWrap w:val="0"/>
            <w:vAlign w:val="center"/>
          </w:tcPr>
          <w:p w14:paraId="7FF19E90">
            <w:pPr>
              <w:snapToGrid w:val="0"/>
              <w:spacing w:line="360" w:lineRule="auto"/>
              <w:jc w:val="center"/>
              <w:rPr>
                <w:rFonts w:hint="eastAsia" w:ascii="仿宋" w:hAnsi="仿宋" w:eastAsia="仿宋" w:cs="仿宋"/>
                <w:color w:val="auto"/>
                <w:sz w:val="24"/>
                <w:highlight w:val="none"/>
              </w:rPr>
            </w:pPr>
          </w:p>
        </w:tc>
        <w:tc>
          <w:tcPr>
            <w:tcW w:w="867" w:type="dxa"/>
            <w:noWrap w:val="0"/>
            <w:vAlign w:val="center"/>
          </w:tcPr>
          <w:p w14:paraId="3EAA5EFE">
            <w:pPr>
              <w:spacing w:line="360" w:lineRule="auto"/>
              <w:jc w:val="center"/>
              <w:rPr>
                <w:rFonts w:hint="eastAsia" w:ascii="仿宋" w:hAnsi="仿宋" w:eastAsia="仿宋" w:cs="仿宋"/>
                <w:color w:val="auto"/>
                <w:sz w:val="24"/>
                <w:highlight w:val="none"/>
              </w:rPr>
            </w:pPr>
          </w:p>
        </w:tc>
        <w:tc>
          <w:tcPr>
            <w:tcW w:w="867" w:type="dxa"/>
            <w:noWrap w:val="0"/>
            <w:vAlign w:val="center"/>
          </w:tcPr>
          <w:p w14:paraId="34DE4F1E">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93" w:type="dxa"/>
            <w:noWrap w:val="0"/>
            <w:vAlign w:val="center"/>
          </w:tcPr>
          <w:p w14:paraId="090A2EE0">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73" w:type="dxa"/>
            <w:noWrap w:val="0"/>
            <w:vAlign w:val="center"/>
          </w:tcPr>
          <w:p w14:paraId="3DC49A23">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334" w:type="dxa"/>
            <w:noWrap w:val="0"/>
            <w:vAlign w:val="center"/>
          </w:tcPr>
          <w:p w14:paraId="6071022D">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60" w:type="dxa"/>
            <w:noWrap w:val="0"/>
            <w:vAlign w:val="center"/>
          </w:tcPr>
          <w:p w14:paraId="456B23D2">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60" w:type="dxa"/>
            <w:noWrap w:val="0"/>
            <w:vAlign w:val="center"/>
          </w:tcPr>
          <w:p w14:paraId="241DA9C4">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66" w:type="dxa"/>
            <w:noWrap w:val="0"/>
            <w:vAlign w:val="center"/>
          </w:tcPr>
          <w:p w14:paraId="0DC8A440">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690" w:type="dxa"/>
            <w:noWrap w:val="0"/>
            <w:vAlign w:val="center"/>
          </w:tcPr>
          <w:p w14:paraId="5E584C81">
            <w:pPr>
              <w:widowControl/>
              <w:spacing w:line="360" w:lineRule="atLeast"/>
              <w:ind w:firstLine="470" w:firstLineChars="196"/>
              <w:jc w:val="left"/>
              <w:outlineLvl w:val="9"/>
              <w:rPr>
                <w:rFonts w:hint="eastAsia" w:ascii="仿宋" w:hAnsi="仿宋" w:eastAsia="仿宋" w:cs="仿宋"/>
                <w:color w:val="auto"/>
                <w:sz w:val="24"/>
                <w:highlight w:val="none"/>
              </w:rPr>
            </w:pPr>
          </w:p>
        </w:tc>
      </w:tr>
      <w:tr w14:paraId="250C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10" w:type="dxa"/>
            <w:tcBorders>
              <w:left w:val="single" w:color="auto" w:sz="4" w:space="0"/>
            </w:tcBorders>
            <w:noWrap w:val="0"/>
            <w:vAlign w:val="center"/>
          </w:tcPr>
          <w:p w14:paraId="1A4D831D">
            <w:pPr>
              <w:snapToGrid w:val="0"/>
              <w:spacing w:line="360" w:lineRule="auto"/>
              <w:jc w:val="center"/>
              <w:rPr>
                <w:rFonts w:hint="eastAsia" w:ascii="仿宋" w:hAnsi="仿宋" w:eastAsia="仿宋" w:cs="仿宋"/>
                <w:color w:val="auto"/>
                <w:sz w:val="24"/>
                <w:highlight w:val="none"/>
              </w:rPr>
            </w:pPr>
          </w:p>
        </w:tc>
        <w:tc>
          <w:tcPr>
            <w:tcW w:w="867" w:type="dxa"/>
            <w:noWrap w:val="0"/>
            <w:vAlign w:val="center"/>
          </w:tcPr>
          <w:p w14:paraId="10956F40">
            <w:pPr>
              <w:spacing w:line="360" w:lineRule="auto"/>
              <w:jc w:val="center"/>
              <w:rPr>
                <w:rFonts w:hint="eastAsia" w:ascii="仿宋" w:hAnsi="仿宋" w:eastAsia="仿宋" w:cs="仿宋"/>
                <w:color w:val="auto"/>
                <w:sz w:val="24"/>
                <w:highlight w:val="none"/>
              </w:rPr>
            </w:pPr>
          </w:p>
        </w:tc>
        <w:tc>
          <w:tcPr>
            <w:tcW w:w="867" w:type="dxa"/>
            <w:noWrap w:val="0"/>
            <w:vAlign w:val="center"/>
          </w:tcPr>
          <w:p w14:paraId="38DB26D0">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93" w:type="dxa"/>
            <w:noWrap w:val="0"/>
            <w:vAlign w:val="center"/>
          </w:tcPr>
          <w:p w14:paraId="346A53ED">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73" w:type="dxa"/>
            <w:noWrap w:val="0"/>
            <w:vAlign w:val="center"/>
          </w:tcPr>
          <w:p w14:paraId="7B8F1BD4">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334" w:type="dxa"/>
            <w:noWrap w:val="0"/>
            <w:vAlign w:val="center"/>
          </w:tcPr>
          <w:p w14:paraId="34F3BA87">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60" w:type="dxa"/>
            <w:noWrap w:val="0"/>
            <w:vAlign w:val="center"/>
          </w:tcPr>
          <w:p w14:paraId="1257245C">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60" w:type="dxa"/>
            <w:noWrap w:val="0"/>
            <w:vAlign w:val="center"/>
          </w:tcPr>
          <w:p w14:paraId="7F873B94">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66" w:type="dxa"/>
            <w:noWrap w:val="0"/>
            <w:vAlign w:val="center"/>
          </w:tcPr>
          <w:p w14:paraId="437DF069">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690" w:type="dxa"/>
            <w:noWrap w:val="0"/>
            <w:vAlign w:val="center"/>
          </w:tcPr>
          <w:p w14:paraId="35CC0FCE">
            <w:pPr>
              <w:widowControl/>
              <w:spacing w:line="360" w:lineRule="atLeast"/>
              <w:ind w:firstLine="470" w:firstLineChars="196"/>
              <w:jc w:val="left"/>
              <w:outlineLvl w:val="9"/>
              <w:rPr>
                <w:rFonts w:hint="eastAsia" w:ascii="仿宋" w:hAnsi="仿宋" w:eastAsia="仿宋" w:cs="仿宋"/>
                <w:color w:val="auto"/>
                <w:sz w:val="24"/>
                <w:highlight w:val="none"/>
              </w:rPr>
            </w:pPr>
          </w:p>
        </w:tc>
      </w:tr>
      <w:tr w14:paraId="6AEC4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10" w:type="dxa"/>
            <w:noWrap w:val="0"/>
            <w:vAlign w:val="center"/>
          </w:tcPr>
          <w:p w14:paraId="605D10E0">
            <w:pPr>
              <w:snapToGrid w:val="0"/>
              <w:spacing w:line="360" w:lineRule="auto"/>
              <w:jc w:val="center"/>
              <w:rPr>
                <w:rFonts w:hint="eastAsia" w:ascii="仿宋" w:hAnsi="仿宋" w:eastAsia="仿宋" w:cs="仿宋"/>
                <w:color w:val="auto"/>
                <w:sz w:val="24"/>
                <w:highlight w:val="none"/>
              </w:rPr>
            </w:pPr>
          </w:p>
        </w:tc>
        <w:tc>
          <w:tcPr>
            <w:tcW w:w="867" w:type="dxa"/>
            <w:noWrap w:val="0"/>
            <w:vAlign w:val="center"/>
          </w:tcPr>
          <w:p w14:paraId="6FEE6477">
            <w:pPr>
              <w:spacing w:line="360" w:lineRule="auto"/>
              <w:jc w:val="center"/>
              <w:rPr>
                <w:rFonts w:hint="eastAsia" w:ascii="仿宋" w:hAnsi="仿宋" w:eastAsia="仿宋" w:cs="仿宋"/>
                <w:color w:val="auto"/>
                <w:sz w:val="24"/>
                <w:highlight w:val="none"/>
              </w:rPr>
            </w:pPr>
          </w:p>
        </w:tc>
        <w:tc>
          <w:tcPr>
            <w:tcW w:w="867" w:type="dxa"/>
            <w:noWrap w:val="0"/>
            <w:vAlign w:val="center"/>
          </w:tcPr>
          <w:p w14:paraId="667E036B">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93" w:type="dxa"/>
            <w:noWrap w:val="0"/>
            <w:vAlign w:val="center"/>
          </w:tcPr>
          <w:p w14:paraId="32107B12">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73" w:type="dxa"/>
            <w:noWrap w:val="0"/>
            <w:vAlign w:val="center"/>
          </w:tcPr>
          <w:p w14:paraId="464D1511">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334" w:type="dxa"/>
            <w:noWrap w:val="0"/>
            <w:vAlign w:val="center"/>
          </w:tcPr>
          <w:p w14:paraId="49556BB5">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60" w:type="dxa"/>
            <w:noWrap w:val="0"/>
            <w:vAlign w:val="center"/>
          </w:tcPr>
          <w:p w14:paraId="347F4465">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60" w:type="dxa"/>
            <w:noWrap w:val="0"/>
            <w:vAlign w:val="center"/>
          </w:tcPr>
          <w:p w14:paraId="41A7084D">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66" w:type="dxa"/>
            <w:noWrap w:val="0"/>
            <w:vAlign w:val="center"/>
          </w:tcPr>
          <w:p w14:paraId="2CC36E3A">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690" w:type="dxa"/>
            <w:noWrap w:val="0"/>
            <w:vAlign w:val="center"/>
          </w:tcPr>
          <w:p w14:paraId="79FD58C2">
            <w:pPr>
              <w:widowControl/>
              <w:spacing w:line="360" w:lineRule="atLeast"/>
              <w:ind w:firstLine="470" w:firstLineChars="196"/>
              <w:jc w:val="left"/>
              <w:outlineLvl w:val="9"/>
              <w:rPr>
                <w:rFonts w:hint="eastAsia" w:ascii="仿宋" w:hAnsi="仿宋" w:eastAsia="仿宋" w:cs="仿宋"/>
                <w:color w:val="auto"/>
                <w:sz w:val="24"/>
                <w:highlight w:val="none"/>
              </w:rPr>
            </w:pPr>
          </w:p>
        </w:tc>
      </w:tr>
      <w:tr w14:paraId="40BDB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610" w:type="dxa"/>
            <w:noWrap w:val="0"/>
            <w:vAlign w:val="center"/>
          </w:tcPr>
          <w:p w14:paraId="371D6321">
            <w:pPr>
              <w:snapToGrid w:val="0"/>
              <w:spacing w:line="360" w:lineRule="auto"/>
              <w:jc w:val="center"/>
              <w:rPr>
                <w:rFonts w:hint="eastAsia" w:ascii="仿宋" w:hAnsi="仿宋" w:eastAsia="仿宋" w:cs="仿宋"/>
                <w:color w:val="auto"/>
                <w:sz w:val="24"/>
                <w:highlight w:val="none"/>
              </w:rPr>
            </w:pPr>
            <w:bookmarkStart w:id="126" w:name="_Toc29946"/>
          </w:p>
        </w:tc>
        <w:tc>
          <w:tcPr>
            <w:tcW w:w="867" w:type="dxa"/>
            <w:noWrap w:val="0"/>
            <w:vAlign w:val="center"/>
          </w:tcPr>
          <w:p w14:paraId="3914156C">
            <w:pPr>
              <w:spacing w:line="360" w:lineRule="auto"/>
              <w:jc w:val="center"/>
              <w:rPr>
                <w:rFonts w:hint="eastAsia" w:ascii="仿宋" w:hAnsi="仿宋" w:eastAsia="仿宋" w:cs="仿宋"/>
                <w:color w:val="auto"/>
                <w:sz w:val="24"/>
                <w:highlight w:val="none"/>
              </w:rPr>
            </w:pPr>
          </w:p>
        </w:tc>
        <w:tc>
          <w:tcPr>
            <w:tcW w:w="867" w:type="dxa"/>
            <w:noWrap w:val="0"/>
            <w:vAlign w:val="center"/>
          </w:tcPr>
          <w:p w14:paraId="4DAD1D0D">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93" w:type="dxa"/>
            <w:noWrap w:val="0"/>
            <w:vAlign w:val="center"/>
          </w:tcPr>
          <w:p w14:paraId="3AE3E5EE">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73" w:type="dxa"/>
            <w:noWrap w:val="0"/>
            <w:vAlign w:val="center"/>
          </w:tcPr>
          <w:p w14:paraId="33F6A489">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334" w:type="dxa"/>
            <w:noWrap w:val="0"/>
            <w:vAlign w:val="center"/>
          </w:tcPr>
          <w:p w14:paraId="12890276">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760" w:type="dxa"/>
            <w:noWrap w:val="0"/>
            <w:vAlign w:val="center"/>
          </w:tcPr>
          <w:p w14:paraId="04E735F7">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960" w:type="dxa"/>
            <w:noWrap w:val="0"/>
            <w:vAlign w:val="center"/>
          </w:tcPr>
          <w:p w14:paraId="4372F067">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266" w:type="dxa"/>
            <w:noWrap w:val="0"/>
            <w:vAlign w:val="center"/>
          </w:tcPr>
          <w:p w14:paraId="71BA9E40">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690" w:type="dxa"/>
            <w:noWrap w:val="0"/>
            <w:vAlign w:val="center"/>
          </w:tcPr>
          <w:p w14:paraId="6410E25C">
            <w:pPr>
              <w:widowControl/>
              <w:spacing w:line="360" w:lineRule="atLeast"/>
              <w:ind w:firstLine="470" w:firstLineChars="196"/>
              <w:jc w:val="left"/>
              <w:outlineLvl w:val="9"/>
              <w:rPr>
                <w:rFonts w:hint="eastAsia" w:ascii="仿宋" w:hAnsi="仿宋" w:eastAsia="仿宋" w:cs="仿宋"/>
                <w:color w:val="auto"/>
                <w:sz w:val="24"/>
                <w:highlight w:val="none"/>
              </w:rPr>
            </w:pPr>
          </w:p>
        </w:tc>
      </w:tr>
      <w:tr w14:paraId="6A96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504" w:type="dxa"/>
            <w:gridSpan w:val="7"/>
            <w:tcBorders>
              <w:top w:val="single" w:color="auto" w:sz="4" w:space="0"/>
              <w:bottom w:val="single" w:color="auto" w:sz="4" w:space="0"/>
            </w:tcBorders>
            <w:noWrap w:val="0"/>
            <w:vAlign w:val="center"/>
          </w:tcPr>
          <w:p w14:paraId="746B5338">
            <w:pPr>
              <w:widowControl/>
              <w:spacing w:line="360" w:lineRule="atLeast"/>
              <w:ind w:firstLine="470" w:firstLineChars="196"/>
              <w:jc w:val="left"/>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分项报价合计（元）：   大写：</w:t>
            </w:r>
            <w:bookmarkEnd w:id="126"/>
          </w:p>
        </w:tc>
        <w:tc>
          <w:tcPr>
            <w:tcW w:w="960" w:type="dxa"/>
            <w:tcBorders>
              <w:top w:val="single" w:color="auto" w:sz="4" w:space="0"/>
              <w:bottom w:val="single" w:color="auto" w:sz="4" w:space="0"/>
            </w:tcBorders>
            <w:noWrap w:val="0"/>
            <w:vAlign w:val="center"/>
          </w:tcPr>
          <w:p w14:paraId="72AFEB2B">
            <w:pPr>
              <w:widowControl/>
              <w:spacing w:line="360" w:lineRule="atLeast"/>
              <w:ind w:firstLine="470" w:firstLineChars="196"/>
              <w:jc w:val="left"/>
              <w:outlineLvl w:val="9"/>
              <w:rPr>
                <w:rFonts w:hint="eastAsia" w:ascii="仿宋" w:hAnsi="仿宋" w:eastAsia="仿宋" w:cs="仿宋"/>
                <w:color w:val="auto"/>
                <w:sz w:val="24"/>
                <w:highlight w:val="none"/>
              </w:rPr>
            </w:pPr>
          </w:p>
        </w:tc>
        <w:tc>
          <w:tcPr>
            <w:tcW w:w="1956" w:type="dxa"/>
            <w:gridSpan w:val="2"/>
            <w:tcBorders>
              <w:top w:val="single" w:color="auto" w:sz="4" w:space="0"/>
              <w:bottom w:val="single" w:color="auto" w:sz="4" w:space="0"/>
            </w:tcBorders>
            <w:noWrap w:val="0"/>
            <w:vAlign w:val="center"/>
          </w:tcPr>
          <w:p w14:paraId="3656A7DD">
            <w:pPr>
              <w:widowControl/>
              <w:spacing w:line="360" w:lineRule="atLeast"/>
              <w:ind w:firstLine="470" w:firstLineChars="196"/>
              <w:jc w:val="left"/>
              <w:outlineLvl w:val="9"/>
              <w:rPr>
                <w:rFonts w:hint="eastAsia" w:ascii="仿宋" w:hAnsi="仿宋" w:eastAsia="仿宋" w:cs="仿宋"/>
                <w:color w:val="auto"/>
                <w:sz w:val="24"/>
                <w:highlight w:val="none"/>
              </w:rPr>
            </w:pPr>
          </w:p>
        </w:tc>
      </w:tr>
    </w:tbl>
    <w:p w14:paraId="749B525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注：1、投标人必须按“分项报价明细表”的格式详细报出投标总价的各个组成部分的报价。</w:t>
      </w:r>
    </w:p>
    <w:p w14:paraId="72AAE18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2、“分项报价明细表”各分项报价合计应当与“开标一览表”报价合计相等。</w:t>
      </w:r>
    </w:p>
    <w:p w14:paraId="412E74E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 、</w:t>
      </w:r>
      <w:r>
        <w:rPr>
          <w:rFonts w:hint="eastAsia" w:ascii="仿宋" w:hAnsi="仿宋" w:eastAsia="仿宋" w:cs="仿宋"/>
          <w:color w:val="auto"/>
          <w:sz w:val="24"/>
          <w:highlight w:val="none"/>
          <w:lang w:eastAsia="zh-CN"/>
        </w:rPr>
        <w:t>汇总计算结果请采取“四舍五入法”保留到元。如果未保留到元的，由评审委直接按“四舍五入法”调整、修正保留到元，由此产生的不利后果由供应商自行承担。如果供应商拒绝评审委的修正结果的，其报价作无效处理。</w:t>
      </w:r>
    </w:p>
    <w:p w14:paraId="6275840D">
      <w:pPr>
        <w:spacing w:line="400" w:lineRule="exact"/>
        <w:ind w:firstLine="480" w:firstLineChars="200"/>
        <w:rPr>
          <w:rFonts w:hint="eastAsia" w:ascii="仿宋" w:hAnsi="仿宋" w:eastAsia="仿宋" w:cs="仿宋"/>
          <w:color w:val="auto"/>
          <w:sz w:val="24"/>
          <w:highlight w:val="none"/>
          <w:lang w:val="en-US" w:eastAsia="zh-CN"/>
        </w:rPr>
      </w:pPr>
    </w:p>
    <w:p w14:paraId="59D65DD9">
      <w:pPr>
        <w:pStyle w:val="2"/>
        <w:rPr>
          <w:rFonts w:hint="eastAsia" w:ascii="仿宋" w:hAnsi="仿宋" w:eastAsia="仿宋" w:cs="仿宋"/>
          <w:color w:val="auto"/>
          <w:highlight w:val="none"/>
          <w:lang w:val="en-US" w:eastAsia="zh-CN"/>
        </w:rPr>
      </w:pPr>
    </w:p>
    <w:p w14:paraId="12B1DB52">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投标人名称</w:t>
      </w:r>
      <w:r>
        <w:rPr>
          <w:rFonts w:hint="eastAsia" w:ascii="仿宋" w:hAnsi="仿宋" w:eastAsia="仿宋" w:cs="仿宋"/>
          <w:bCs/>
          <w:color w:val="auto"/>
          <w:sz w:val="24"/>
          <w:highlight w:val="none"/>
          <w:lang w:eastAsia="zh-CN"/>
        </w:rPr>
        <w:t>（公章）</w:t>
      </w:r>
      <w:r>
        <w:rPr>
          <w:rFonts w:hint="eastAsia" w:ascii="仿宋" w:hAnsi="仿宋" w:eastAsia="仿宋" w:cs="仿宋"/>
          <w:bCs/>
          <w:color w:val="auto"/>
          <w:sz w:val="24"/>
          <w:highlight w:val="none"/>
        </w:rPr>
        <w:t>：</w:t>
      </w:r>
    </w:p>
    <w:p w14:paraId="52736E90">
      <w:pPr>
        <w:spacing w:beforeLines="50" w:afterLines="50" w:line="24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法定代表人/单位负责人或授权代表（签字或加盖个人名章）：</w:t>
      </w:r>
    </w:p>
    <w:p w14:paraId="58ABB1E5">
      <w:pPr>
        <w:spacing w:line="360" w:lineRule="auto"/>
        <w:jc w:val="left"/>
        <w:outlineLvl w:val="1"/>
        <w:rPr>
          <w:rFonts w:hint="eastAsia" w:ascii="仿宋" w:hAnsi="仿宋" w:eastAsia="仿宋" w:cs="仿宋"/>
          <w:sz w:val="24"/>
          <w:szCs w:val="24"/>
          <w:highlight w:val="none"/>
        </w:rPr>
      </w:pPr>
      <w:r>
        <w:rPr>
          <w:rFonts w:hint="eastAsia" w:ascii="仿宋" w:hAnsi="仿宋" w:eastAsia="仿宋" w:cs="仿宋"/>
          <w:bCs/>
          <w:color w:val="auto"/>
          <w:sz w:val="24"/>
          <w:highlight w:val="none"/>
        </w:rPr>
        <w:t>日    期：</w:t>
      </w:r>
      <w:r>
        <w:rPr>
          <w:rFonts w:hint="eastAsia" w:ascii="仿宋" w:hAnsi="仿宋" w:eastAsia="仿宋" w:cs="仿宋"/>
          <w:color w:val="auto"/>
          <w:sz w:val="32"/>
          <w:szCs w:val="32"/>
          <w:highlight w:val="none"/>
        </w:rPr>
        <w:br w:type="page"/>
      </w:r>
    </w:p>
    <w:p w14:paraId="63C7FD20">
      <w:pPr>
        <w:spacing w:line="360" w:lineRule="auto"/>
        <w:jc w:val="left"/>
        <w:outlineLvl w:val="1"/>
        <w:rPr>
          <w:rFonts w:hint="eastAsia" w:ascii="仿宋" w:hAnsi="仿宋" w:eastAsia="仿宋" w:cs="仿宋"/>
          <w:sz w:val="24"/>
          <w:szCs w:val="24"/>
          <w:highlight w:val="none"/>
        </w:rPr>
      </w:pPr>
    </w:p>
    <w:p w14:paraId="5B6E7D0E">
      <w:pPr>
        <w:spacing w:line="360" w:lineRule="auto"/>
        <w:jc w:val="left"/>
        <w:outlineLvl w:val="1"/>
        <w:rPr>
          <w:rFonts w:hint="eastAsia" w:ascii="仿宋" w:hAnsi="仿宋" w:eastAsia="仿宋" w:cs="仿宋"/>
          <w:b/>
          <w:bCs/>
          <w:sz w:val="24"/>
          <w:szCs w:val="24"/>
          <w:highlight w:val="none"/>
        </w:rPr>
      </w:pPr>
      <w:r>
        <w:rPr>
          <w:rFonts w:hint="eastAsia" w:ascii="仿宋" w:hAnsi="仿宋" w:eastAsia="仿宋" w:cs="仿宋"/>
          <w:b/>
          <w:bCs/>
          <w:sz w:val="28"/>
          <w:szCs w:val="28"/>
          <w:highlight w:val="none"/>
        </w:rPr>
        <w:t>格式6 技术要求应答表</w:t>
      </w:r>
      <w:bookmarkEnd w:id="107"/>
    </w:p>
    <w:p w14:paraId="1078BF0B">
      <w:pPr>
        <w:pStyle w:val="15"/>
        <w:pBdr>
          <w:bottom w:val="none" w:color="auto" w:sz="0" w:space="0"/>
        </w:pBdr>
        <w:tabs>
          <w:tab w:val="clear" w:pos="4153"/>
          <w:tab w:val="clear" w:pos="8306"/>
        </w:tabs>
        <w:snapToGrid/>
        <w:spacing w:line="360" w:lineRule="auto"/>
        <w:rPr>
          <w:rFonts w:hint="eastAsia" w:ascii="仿宋" w:hAnsi="仿宋" w:eastAsia="仿宋" w:cs="仿宋"/>
          <w:sz w:val="28"/>
          <w:szCs w:val="28"/>
          <w:highlight w:val="none"/>
        </w:rPr>
      </w:pPr>
      <w:r>
        <w:rPr>
          <w:rFonts w:hint="eastAsia" w:ascii="仿宋" w:hAnsi="仿宋" w:eastAsia="仿宋" w:cs="仿宋"/>
          <w:b/>
          <w:bCs/>
          <w:sz w:val="28"/>
          <w:szCs w:val="28"/>
          <w:highlight w:val="none"/>
        </w:rPr>
        <w:t>技术要求应答表</w:t>
      </w:r>
    </w:p>
    <w:p w14:paraId="776E8805">
      <w:pPr>
        <w:pStyle w:val="15"/>
        <w:pBdr>
          <w:bottom w:val="none" w:color="auto" w:sz="0" w:space="0"/>
        </w:pBdr>
        <w:tabs>
          <w:tab w:val="clear" w:pos="4153"/>
          <w:tab w:val="clear" w:pos="8306"/>
        </w:tabs>
        <w:snapToGrid/>
        <w:spacing w:line="360" w:lineRule="auto"/>
        <w:ind w:firstLine="480" w:firstLineChars="2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项目名称： </w:t>
      </w:r>
    </w:p>
    <w:p w14:paraId="500DBA07">
      <w:pPr>
        <w:pStyle w:val="15"/>
        <w:pBdr>
          <w:bottom w:val="none" w:color="auto" w:sz="0" w:space="0"/>
        </w:pBdr>
        <w:tabs>
          <w:tab w:val="clear" w:pos="4153"/>
          <w:tab w:val="clear" w:pos="8306"/>
        </w:tabs>
        <w:snapToGrid/>
        <w:spacing w:line="360" w:lineRule="auto"/>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项目编号：                                    </w:t>
      </w:r>
    </w:p>
    <w:tbl>
      <w:tblPr>
        <w:tblStyle w:val="22"/>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2"/>
        <w:gridCol w:w="3069"/>
        <w:gridCol w:w="3217"/>
        <w:gridCol w:w="1477"/>
      </w:tblGrid>
      <w:tr w14:paraId="0232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2092" w:type="dxa"/>
            <w:vAlign w:val="center"/>
          </w:tcPr>
          <w:p w14:paraId="2540A0D3">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招标文件条目号</w:t>
            </w:r>
          </w:p>
        </w:tc>
        <w:tc>
          <w:tcPr>
            <w:tcW w:w="3069" w:type="dxa"/>
            <w:vAlign w:val="center"/>
          </w:tcPr>
          <w:p w14:paraId="3AAB100F">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招标文件要求</w:t>
            </w:r>
          </w:p>
          <w:p w14:paraId="5F016E19">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（详见招标文件第五章）</w:t>
            </w:r>
          </w:p>
        </w:tc>
        <w:tc>
          <w:tcPr>
            <w:tcW w:w="3217" w:type="dxa"/>
            <w:vAlign w:val="center"/>
          </w:tcPr>
          <w:p w14:paraId="7060F232">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投标文件的应答情况</w:t>
            </w:r>
          </w:p>
          <w:p w14:paraId="409C59E2">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（投标产品实际参数）</w:t>
            </w:r>
          </w:p>
        </w:tc>
        <w:tc>
          <w:tcPr>
            <w:tcW w:w="1477" w:type="dxa"/>
            <w:vAlign w:val="center"/>
          </w:tcPr>
          <w:p w14:paraId="0804E50A">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偏离说明</w:t>
            </w:r>
          </w:p>
        </w:tc>
      </w:tr>
      <w:tr w14:paraId="52680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92" w:type="dxa"/>
            <w:vAlign w:val="center"/>
          </w:tcPr>
          <w:p w14:paraId="19B13F47">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14:paraId="7E59B5B2">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14:paraId="0D4AFC08">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14:paraId="7AC29CF9">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14:paraId="2CAB0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92" w:type="dxa"/>
            <w:vAlign w:val="center"/>
          </w:tcPr>
          <w:p w14:paraId="15B90F62">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14:paraId="22C6DE2E">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14:paraId="3FCD8B78">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14:paraId="76E54431">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14:paraId="7A271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14:paraId="170AEC6D">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14:paraId="0EBBCE10">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14:paraId="2AFAF417">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14:paraId="636B74B8">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14:paraId="318ED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14:paraId="58EFD05F">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14:paraId="6D7BB801">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14:paraId="0F4173D1">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14:paraId="0A289AC8">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14:paraId="2D9FB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14:paraId="42BBF6CB">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14:paraId="0F938F6B">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14:paraId="59A5EBBC">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14:paraId="25E07F01">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14:paraId="7962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14:paraId="73CF28BC">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14:paraId="38BFF5FA">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14:paraId="6C4723FD">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14:paraId="69CCCD84">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14:paraId="7B623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14:paraId="5136CC10">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14:paraId="602CDB9A">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14:paraId="558192A9">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14:paraId="3E0CEFAB">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14:paraId="6040B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14:paraId="373BA94C">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14:paraId="78E0A42A">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14:paraId="64EA1CF3">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14:paraId="033C4B50">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r w14:paraId="25A8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92" w:type="dxa"/>
            <w:vAlign w:val="center"/>
          </w:tcPr>
          <w:p w14:paraId="522A0FAF">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069" w:type="dxa"/>
            <w:vAlign w:val="center"/>
          </w:tcPr>
          <w:p w14:paraId="0B046073">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3217" w:type="dxa"/>
            <w:vAlign w:val="center"/>
          </w:tcPr>
          <w:p w14:paraId="0C407F68">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c>
          <w:tcPr>
            <w:tcW w:w="1477" w:type="dxa"/>
            <w:vAlign w:val="center"/>
          </w:tcPr>
          <w:p w14:paraId="399A55AF">
            <w:pPr>
              <w:pStyle w:val="15"/>
              <w:pBdr>
                <w:bottom w:val="none" w:color="auto" w:sz="0" w:space="0"/>
              </w:pBdr>
              <w:tabs>
                <w:tab w:val="clear" w:pos="4153"/>
                <w:tab w:val="clear" w:pos="8306"/>
              </w:tabs>
              <w:snapToGrid/>
              <w:spacing w:line="360" w:lineRule="auto"/>
              <w:rPr>
                <w:rFonts w:hint="eastAsia" w:ascii="仿宋" w:hAnsi="仿宋" w:eastAsia="仿宋" w:cs="仿宋"/>
                <w:sz w:val="24"/>
                <w:szCs w:val="24"/>
                <w:highlight w:val="none"/>
              </w:rPr>
            </w:pPr>
          </w:p>
        </w:tc>
      </w:tr>
    </w:tbl>
    <w:p w14:paraId="6B0401D8">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注：投标人必须根据招标文件要求据实逐条填写，不得虚假投标，虚假投标的，其投标文件无效并按规定追究其相关责任。</w:t>
      </w:r>
    </w:p>
    <w:p w14:paraId="1703EAA9">
      <w:pPr>
        <w:adjustRightInd w:val="0"/>
        <w:spacing w:line="360" w:lineRule="auto"/>
        <w:ind w:firstLine="480" w:firstLineChars="200"/>
        <w:jc w:val="left"/>
        <w:rPr>
          <w:rFonts w:hint="eastAsia" w:ascii="仿宋" w:hAnsi="仿宋" w:eastAsia="仿宋" w:cs="仿宋"/>
          <w:sz w:val="24"/>
          <w:szCs w:val="24"/>
          <w:highlight w:val="none"/>
        </w:rPr>
      </w:pPr>
    </w:p>
    <w:p w14:paraId="2877BE5C">
      <w:pPr>
        <w:adjustRightIn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投标人名称：XXX（盖单位公章）</w:t>
      </w:r>
    </w:p>
    <w:p w14:paraId="4D47EC29">
      <w:pPr>
        <w:adjustRightInd w:val="0"/>
        <w:spacing w:line="360" w:lineRule="auto"/>
        <w:ind w:firstLine="480" w:firstLineChars="200"/>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法定代表人或授权代表（签字或盖章）：XXX</w:t>
      </w:r>
    </w:p>
    <w:p w14:paraId="2E050409">
      <w:pPr>
        <w:adjustRightInd w:val="0"/>
        <w:spacing w:line="360" w:lineRule="auto"/>
        <w:ind w:firstLine="540" w:firstLineChars="225"/>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日  期</w:t>
      </w:r>
      <w:r>
        <w:rPr>
          <w:rFonts w:hint="eastAsia" w:ascii="仿宋" w:hAnsi="仿宋" w:eastAsia="仿宋" w:cs="仿宋"/>
          <w:sz w:val="24"/>
          <w:szCs w:val="24"/>
          <w:highlight w:val="none"/>
        </w:rPr>
        <w:t>：</w:t>
      </w:r>
      <w:r>
        <w:rPr>
          <w:rFonts w:hint="eastAsia" w:ascii="仿宋" w:hAnsi="仿宋" w:eastAsia="仿宋" w:cs="仿宋"/>
          <w:bCs/>
          <w:sz w:val="24"/>
          <w:szCs w:val="24"/>
          <w:highlight w:val="none"/>
        </w:rPr>
        <w:t>XXX年XXX月XXX日</w:t>
      </w:r>
    </w:p>
    <w:p w14:paraId="102B38F0">
      <w:pPr>
        <w:spacing w:line="360" w:lineRule="auto"/>
        <w:rPr>
          <w:rFonts w:hint="eastAsia" w:ascii="仿宋" w:hAnsi="仿宋" w:eastAsia="仿宋" w:cs="仿宋"/>
          <w:sz w:val="24"/>
          <w:szCs w:val="24"/>
          <w:highlight w:val="none"/>
        </w:rPr>
      </w:pPr>
    </w:p>
    <w:p w14:paraId="012F22B9">
      <w:pPr>
        <w:spacing w:line="360" w:lineRule="auto"/>
        <w:rPr>
          <w:rFonts w:hint="eastAsia" w:ascii="仿宋" w:hAnsi="仿宋" w:eastAsia="仿宋" w:cs="仿宋"/>
          <w:sz w:val="24"/>
          <w:szCs w:val="24"/>
          <w:highlight w:val="none"/>
        </w:rPr>
      </w:pPr>
    </w:p>
    <w:p w14:paraId="6C27B8BD">
      <w:pPr>
        <w:spacing w:line="360" w:lineRule="auto"/>
        <w:rPr>
          <w:rFonts w:hint="eastAsia" w:ascii="仿宋" w:hAnsi="仿宋" w:eastAsia="仿宋" w:cs="仿宋"/>
          <w:sz w:val="24"/>
          <w:szCs w:val="24"/>
          <w:highlight w:val="none"/>
        </w:rPr>
      </w:pPr>
    </w:p>
    <w:p w14:paraId="3A9B06CF">
      <w:pPr>
        <w:pStyle w:val="12"/>
        <w:tabs>
          <w:tab w:val="left" w:pos="0"/>
        </w:tabs>
        <w:spacing w:after="0" w:line="360" w:lineRule="auto"/>
        <w:ind w:left="680"/>
        <w:rPr>
          <w:rFonts w:hint="eastAsia" w:ascii="仿宋" w:hAnsi="仿宋" w:eastAsia="仿宋" w:cs="仿宋"/>
          <w:sz w:val="24"/>
          <w:szCs w:val="24"/>
          <w:highlight w:val="none"/>
        </w:rPr>
      </w:pPr>
    </w:p>
    <w:p w14:paraId="219327DC">
      <w:pPr>
        <w:pStyle w:val="12"/>
        <w:tabs>
          <w:tab w:val="left" w:pos="0"/>
        </w:tabs>
        <w:spacing w:line="360" w:lineRule="auto"/>
        <w:ind w:left="680"/>
        <w:rPr>
          <w:rFonts w:hint="eastAsia" w:ascii="仿宋" w:hAnsi="仿宋" w:eastAsia="仿宋" w:cs="仿宋"/>
          <w:sz w:val="24"/>
          <w:szCs w:val="24"/>
          <w:highlight w:val="none"/>
        </w:rPr>
      </w:pPr>
    </w:p>
    <w:p w14:paraId="3C8DB8D7">
      <w:pPr>
        <w:pStyle w:val="12"/>
        <w:tabs>
          <w:tab w:val="left" w:pos="0"/>
        </w:tabs>
        <w:spacing w:line="360" w:lineRule="auto"/>
        <w:ind w:left="680"/>
        <w:rPr>
          <w:rFonts w:hint="eastAsia" w:ascii="仿宋" w:hAnsi="仿宋" w:eastAsia="仿宋" w:cs="仿宋"/>
          <w:sz w:val="24"/>
          <w:szCs w:val="24"/>
          <w:highlight w:val="none"/>
        </w:rPr>
      </w:pPr>
    </w:p>
    <w:p w14:paraId="70854C66">
      <w:pPr>
        <w:pStyle w:val="12"/>
        <w:tabs>
          <w:tab w:val="left" w:pos="0"/>
        </w:tabs>
        <w:spacing w:line="360" w:lineRule="auto"/>
        <w:ind w:left="0" w:leftChars="0"/>
        <w:rPr>
          <w:rFonts w:hint="eastAsia" w:ascii="仿宋" w:hAnsi="仿宋" w:eastAsia="仿宋" w:cs="仿宋"/>
          <w:sz w:val="24"/>
          <w:szCs w:val="24"/>
          <w:highlight w:val="none"/>
        </w:rPr>
      </w:pPr>
    </w:p>
    <w:p w14:paraId="77CD1BF4">
      <w:pPr>
        <w:pStyle w:val="12"/>
        <w:tabs>
          <w:tab w:val="left" w:pos="0"/>
        </w:tabs>
        <w:spacing w:line="360" w:lineRule="auto"/>
        <w:ind w:left="0" w:leftChars="0"/>
        <w:jc w:val="left"/>
        <w:outlineLvl w:val="1"/>
        <w:rPr>
          <w:rFonts w:hint="eastAsia" w:ascii="仿宋" w:hAnsi="仿宋" w:eastAsia="仿宋" w:cs="仿宋"/>
          <w:b/>
          <w:sz w:val="28"/>
          <w:szCs w:val="28"/>
          <w:highlight w:val="none"/>
        </w:rPr>
      </w:pPr>
      <w:bookmarkStart w:id="127" w:name="_Toc24897"/>
      <w:r>
        <w:rPr>
          <w:rFonts w:hint="eastAsia" w:ascii="仿宋" w:hAnsi="仿宋" w:eastAsia="仿宋" w:cs="仿宋"/>
          <w:b/>
          <w:sz w:val="28"/>
          <w:szCs w:val="28"/>
          <w:highlight w:val="none"/>
        </w:rPr>
        <w:t>格式7 商务应答表</w:t>
      </w:r>
      <w:bookmarkEnd w:id="127"/>
    </w:p>
    <w:p w14:paraId="05750F8A">
      <w:pPr>
        <w:spacing w:line="360" w:lineRule="auto"/>
        <w:jc w:val="center"/>
        <w:rPr>
          <w:rFonts w:hint="eastAsia" w:ascii="仿宋" w:hAnsi="仿宋" w:eastAsia="仿宋" w:cs="仿宋"/>
          <w:sz w:val="32"/>
          <w:szCs w:val="32"/>
          <w:highlight w:val="none"/>
        </w:rPr>
      </w:pPr>
      <w:r>
        <w:rPr>
          <w:rFonts w:hint="eastAsia" w:ascii="仿宋" w:hAnsi="仿宋" w:eastAsia="仿宋" w:cs="仿宋"/>
          <w:b/>
          <w:sz w:val="32"/>
          <w:szCs w:val="32"/>
          <w:highlight w:val="none"/>
        </w:rPr>
        <w:t>商务应答表</w:t>
      </w:r>
    </w:p>
    <w:p w14:paraId="4847A28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p w14:paraId="4CC6BC69">
      <w:pPr>
        <w:pStyle w:val="39"/>
        <w:spacing w:line="360" w:lineRule="auto"/>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项目编号：</w:t>
      </w:r>
    </w:p>
    <w:tbl>
      <w:tblPr>
        <w:tblStyle w:val="22"/>
        <w:tblW w:w="9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493"/>
        <w:gridCol w:w="2355"/>
        <w:gridCol w:w="2834"/>
        <w:gridCol w:w="1394"/>
      </w:tblGrid>
      <w:tr w14:paraId="6A1E2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744" w:type="dxa"/>
            <w:vAlign w:val="center"/>
          </w:tcPr>
          <w:p w14:paraId="070B2067">
            <w:pPr>
              <w:pStyle w:val="7"/>
              <w:tabs>
                <w:tab w:val="left" w:pos="6880"/>
              </w:tabs>
              <w:spacing w:line="360" w:lineRule="auto"/>
              <w:ind w:firstLine="0" w:firstLineChars="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2493" w:type="dxa"/>
            <w:vAlign w:val="center"/>
          </w:tcPr>
          <w:p w14:paraId="5CD42B49">
            <w:pPr>
              <w:pStyle w:val="7"/>
              <w:tabs>
                <w:tab w:val="left" w:pos="6880"/>
              </w:tabs>
              <w:spacing w:line="360" w:lineRule="auto"/>
              <w:ind w:firstLine="0" w:firstLineChars="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招标文件条目号</w:t>
            </w:r>
          </w:p>
        </w:tc>
        <w:tc>
          <w:tcPr>
            <w:tcW w:w="2355" w:type="dxa"/>
            <w:vAlign w:val="center"/>
          </w:tcPr>
          <w:p w14:paraId="7EC16B59">
            <w:pPr>
              <w:pStyle w:val="7"/>
              <w:tabs>
                <w:tab w:val="left" w:pos="6880"/>
              </w:tabs>
              <w:spacing w:line="360" w:lineRule="auto"/>
              <w:ind w:firstLine="0" w:firstLineChars="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招标文件要求</w:t>
            </w:r>
          </w:p>
        </w:tc>
        <w:tc>
          <w:tcPr>
            <w:tcW w:w="2834" w:type="dxa"/>
            <w:vAlign w:val="center"/>
          </w:tcPr>
          <w:p w14:paraId="56D78784">
            <w:pPr>
              <w:pStyle w:val="7"/>
              <w:tabs>
                <w:tab w:val="left" w:pos="6880"/>
              </w:tabs>
              <w:spacing w:line="360" w:lineRule="auto"/>
              <w:ind w:firstLine="482"/>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投标文件的应答</w:t>
            </w:r>
          </w:p>
        </w:tc>
        <w:tc>
          <w:tcPr>
            <w:tcW w:w="1394" w:type="dxa"/>
            <w:vAlign w:val="center"/>
          </w:tcPr>
          <w:p w14:paraId="475E9982">
            <w:pPr>
              <w:pStyle w:val="7"/>
              <w:tabs>
                <w:tab w:val="left" w:pos="6880"/>
              </w:tabs>
              <w:spacing w:line="360" w:lineRule="auto"/>
              <w:ind w:firstLine="0" w:firstLineChars="0"/>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偏离说明</w:t>
            </w:r>
          </w:p>
        </w:tc>
      </w:tr>
      <w:tr w14:paraId="69818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4" w:type="dxa"/>
            <w:vAlign w:val="center"/>
          </w:tcPr>
          <w:p w14:paraId="4814C21C">
            <w:pPr>
              <w:pStyle w:val="7"/>
              <w:tabs>
                <w:tab w:val="left" w:pos="34"/>
              </w:tabs>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2493" w:type="dxa"/>
            <w:vAlign w:val="center"/>
          </w:tcPr>
          <w:p w14:paraId="5F6209A8">
            <w:pPr>
              <w:pStyle w:val="7"/>
              <w:tabs>
                <w:tab w:val="left" w:pos="6880"/>
              </w:tabs>
              <w:spacing w:line="360" w:lineRule="auto"/>
              <w:ind w:firstLine="480"/>
              <w:jc w:val="center"/>
              <w:rPr>
                <w:rFonts w:hint="eastAsia" w:ascii="仿宋" w:hAnsi="仿宋" w:eastAsia="仿宋" w:cs="仿宋"/>
                <w:sz w:val="24"/>
                <w:szCs w:val="24"/>
                <w:highlight w:val="none"/>
              </w:rPr>
            </w:pPr>
          </w:p>
        </w:tc>
        <w:tc>
          <w:tcPr>
            <w:tcW w:w="2355" w:type="dxa"/>
            <w:vAlign w:val="center"/>
          </w:tcPr>
          <w:p w14:paraId="026875EC">
            <w:pPr>
              <w:pStyle w:val="7"/>
              <w:tabs>
                <w:tab w:val="left" w:pos="6880"/>
              </w:tabs>
              <w:spacing w:line="360" w:lineRule="auto"/>
              <w:ind w:firstLine="480"/>
              <w:jc w:val="center"/>
              <w:rPr>
                <w:rFonts w:hint="eastAsia" w:ascii="仿宋" w:hAnsi="仿宋" w:eastAsia="仿宋" w:cs="仿宋"/>
                <w:sz w:val="24"/>
                <w:szCs w:val="24"/>
                <w:highlight w:val="none"/>
              </w:rPr>
            </w:pPr>
          </w:p>
        </w:tc>
        <w:tc>
          <w:tcPr>
            <w:tcW w:w="2834" w:type="dxa"/>
            <w:vAlign w:val="center"/>
          </w:tcPr>
          <w:p w14:paraId="7EBF4F27">
            <w:pPr>
              <w:pStyle w:val="7"/>
              <w:tabs>
                <w:tab w:val="left" w:pos="6880"/>
              </w:tabs>
              <w:spacing w:line="360" w:lineRule="auto"/>
              <w:ind w:firstLine="480"/>
              <w:jc w:val="center"/>
              <w:rPr>
                <w:rFonts w:hint="eastAsia" w:ascii="仿宋" w:hAnsi="仿宋" w:eastAsia="仿宋" w:cs="仿宋"/>
                <w:sz w:val="24"/>
                <w:szCs w:val="24"/>
                <w:highlight w:val="none"/>
              </w:rPr>
            </w:pPr>
          </w:p>
        </w:tc>
        <w:tc>
          <w:tcPr>
            <w:tcW w:w="1394" w:type="dxa"/>
            <w:vAlign w:val="center"/>
          </w:tcPr>
          <w:p w14:paraId="7280E521">
            <w:pPr>
              <w:pStyle w:val="7"/>
              <w:tabs>
                <w:tab w:val="left" w:pos="6880"/>
              </w:tabs>
              <w:spacing w:line="360" w:lineRule="auto"/>
              <w:ind w:firstLine="480"/>
              <w:jc w:val="center"/>
              <w:rPr>
                <w:rFonts w:hint="eastAsia" w:ascii="仿宋" w:hAnsi="仿宋" w:eastAsia="仿宋" w:cs="仿宋"/>
                <w:sz w:val="24"/>
                <w:szCs w:val="24"/>
                <w:highlight w:val="none"/>
              </w:rPr>
            </w:pPr>
          </w:p>
        </w:tc>
      </w:tr>
      <w:tr w14:paraId="3263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4" w:type="dxa"/>
            <w:vAlign w:val="center"/>
          </w:tcPr>
          <w:p w14:paraId="5E4364A8">
            <w:pPr>
              <w:pStyle w:val="7"/>
              <w:tabs>
                <w:tab w:val="left" w:pos="34"/>
              </w:tabs>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2493" w:type="dxa"/>
            <w:vAlign w:val="center"/>
          </w:tcPr>
          <w:p w14:paraId="226F04E4">
            <w:pPr>
              <w:pStyle w:val="7"/>
              <w:tabs>
                <w:tab w:val="left" w:pos="6880"/>
              </w:tabs>
              <w:spacing w:line="360" w:lineRule="auto"/>
              <w:ind w:firstLine="480"/>
              <w:jc w:val="center"/>
              <w:rPr>
                <w:rFonts w:hint="eastAsia" w:ascii="仿宋" w:hAnsi="仿宋" w:eastAsia="仿宋" w:cs="仿宋"/>
                <w:sz w:val="24"/>
                <w:szCs w:val="24"/>
                <w:highlight w:val="none"/>
              </w:rPr>
            </w:pPr>
          </w:p>
        </w:tc>
        <w:tc>
          <w:tcPr>
            <w:tcW w:w="2355" w:type="dxa"/>
            <w:vAlign w:val="center"/>
          </w:tcPr>
          <w:p w14:paraId="3AE6FF62">
            <w:pPr>
              <w:pStyle w:val="7"/>
              <w:tabs>
                <w:tab w:val="left" w:pos="6880"/>
              </w:tabs>
              <w:spacing w:line="360" w:lineRule="auto"/>
              <w:ind w:firstLine="480"/>
              <w:jc w:val="center"/>
              <w:rPr>
                <w:rFonts w:hint="eastAsia" w:ascii="仿宋" w:hAnsi="仿宋" w:eastAsia="仿宋" w:cs="仿宋"/>
                <w:sz w:val="24"/>
                <w:szCs w:val="24"/>
                <w:highlight w:val="none"/>
              </w:rPr>
            </w:pPr>
          </w:p>
        </w:tc>
        <w:tc>
          <w:tcPr>
            <w:tcW w:w="2834" w:type="dxa"/>
            <w:vAlign w:val="center"/>
          </w:tcPr>
          <w:p w14:paraId="306E3A5B">
            <w:pPr>
              <w:pStyle w:val="7"/>
              <w:tabs>
                <w:tab w:val="left" w:pos="6880"/>
              </w:tabs>
              <w:spacing w:line="360" w:lineRule="auto"/>
              <w:ind w:firstLine="480"/>
              <w:jc w:val="center"/>
              <w:rPr>
                <w:rFonts w:hint="eastAsia" w:ascii="仿宋" w:hAnsi="仿宋" w:eastAsia="仿宋" w:cs="仿宋"/>
                <w:sz w:val="24"/>
                <w:szCs w:val="24"/>
                <w:highlight w:val="none"/>
              </w:rPr>
            </w:pPr>
          </w:p>
        </w:tc>
        <w:tc>
          <w:tcPr>
            <w:tcW w:w="1394" w:type="dxa"/>
            <w:vAlign w:val="center"/>
          </w:tcPr>
          <w:p w14:paraId="49F8FE07">
            <w:pPr>
              <w:pStyle w:val="7"/>
              <w:tabs>
                <w:tab w:val="left" w:pos="6880"/>
              </w:tabs>
              <w:spacing w:line="360" w:lineRule="auto"/>
              <w:ind w:firstLine="480"/>
              <w:jc w:val="center"/>
              <w:rPr>
                <w:rFonts w:hint="eastAsia" w:ascii="仿宋" w:hAnsi="仿宋" w:eastAsia="仿宋" w:cs="仿宋"/>
                <w:sz w:val="24"/>
                <w:szCs w:val="24"/>
                <w:highlight w:val="none"/>
              </w:rPr>
            </w:pPr>
          </w:p>
        </w:tc>
      </w:tr>
      <w:tr w14:paraId="6548B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4" w:type="dxa"/>
            <w:vAlign w:val="center"/>
          </w:tcPr>
          <w:p w14:paraId="33A6CEA1">
            <w:pPr>
              <w:pStyle w:val="7"/>
              <w:tabs>
                <w:tab w:val="left" w:pos="34"/>
              </w:tabs>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2493" w:type="dxa"/>
            <w:vAlign w:val="center"/>
          </w:tcPr>
          <w:p w14:paraId="5B389502">
            <w:pPr>
              <w:pStyle w:val="7"/>
              <w:tabs>
                <w:tab w:val="left" w:pos="6880"/>
              </w:tabs>
              <w:spacing w:line="360" w:lineRule="auto"/>
              <w:ind w:firstLine="480"/>
              <w:jc w:val="center"/>
              <w:rPr>
                <w:rFonts w:hint="eastAsia" w:ascii="仿宋" w:hAnsi="仿宋" w:eastAsia="仿宋" w:cs="仿宋"/>
                <w:sz w:val="24"/>
                <w:szCs w:val="24"/>
                <w:highlight w:val="none"/>
              </w:rPr>
            </w:pPr>
          </w:p>
        </w:tc>
        <w:tc>
          <w:tcPr>
            <w:tcW w:w="2355" w:type="dxa"/>
            <w:vAlign w:val="center"/>
          </w:tcPr>
          <w:p w14:paraId="5C31D915">
            <w:pPr>
              <w:pStyle w:val="7"/>
              <w:tabs>
                <w:tab w:val="left" w:pos="6880"/>
              </w:tabs>
              <w:spacing w:line="360" w:lineRule="auto"/>
              <w:ind w:firstLine="480"/>
              <w:jc w:val="center"/>
              <w:rPr>
                <w:rFonts w:hint="eastAsia" w:ascii="仿宋" w:hAnsi="仿宋" w:eastAsia="仿宋" w:cs="仿宋"/>
                <w:sz w:val="24"/>
                <w:szCs w:val="24"/>
                <w:highlight w:val="none"/>
              </w:rPr>
            </w:pPr>
          </w:p>
        </w:tc>
        <w:tc>
          <w:tcPr>
            <w:tcW w:w="2834" w:type="dxa"/>
            <w:vAlign w:val="center"/>
          </w:tcPr>
          <w:p w14:paraId="324B3BBB">
            <w:pPr>
              <w:pStyle w:val="7"/>
              <w:tabs>
                <w:tab w:val="left" w:pos="6880"/>
              </w:tabs>
              <w:spacing w:line="360" w:lineRule="auto"/>
              <w:ind w:firstLine="480"/>
              <w:jc w:val="center"/>
              <w:rPr>
                <w:rFonts w:hint="eastAsia" w:ascii="仿宋" w:hAnsi="仿宋" w:eastAsia="仿宋" w:cs="仿宋"/>
                <w:sz w:val="24"/>
                <w:szCs w:val="24"/>
                <w:highlight w:val="none"/>
              </w:rPr>
            </w:pPr>
          </w:p>
        </w:tc>
        <w:tc>
          <w:tcPr>
            <w:tcW w:w="1394" w:type="dxa"/>
            <w:vAlign w:val="center"/>
          </w:tcPr>
          <w:p w14:paraId="7AB87262">
            <w:pPr>
              <w:pStyle w:val="7"/>
              <w:tabs>
                <w:tab w:val="left" w:pos="6880"/>
              </w:tabs>
              <w:spacing w:line="360" w:lineRule="auto"/>
              <w:ind w:firstLine="480"/>
              <w:jc w:val="center"/>
              <w:rPr>
                <w:rFonts w:hint="eastAsia" w:ascii="仿宋" w:hAnsi="仿宋" w:eastAsia="仿宋" w:cs="仿宋"/>
                <w:sz w:val="24"/>
                <w:szCs w:val="24"/>
                <w:highlight w:val="none"/>
              </w:rPr>
            </w:pPr>
          </w:p>
        </w:tc>
      </w:tr>
      <w:tr w14:paraId="0202D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44" w:type="dxa"/>
            <w:vAlign w:val="center"/>
          </w:tcPr>
          <w:p w14:paraId="3EA8BB89">
            <w:pPr>
              <w:pStyle w:val="7"/>
              <w:tabs>
                <w:tab w:val="left" w:pos="34"/>
              </w:tabs>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2493" w:type="dxa"/>
            <w:vAlign w:val="center"/>
          </w:tcPr>
          <w:p w14:paraId="6B3C4229">
            <w:pPr>
              <w:pStyle w:val="7"/>
              <w:tabs>
                <w:tab w:val="left" w:pos="6880"/>
              </w:tabs>
              <w:spacing w:line="360" w:lineRule="auto"/>
              <w:ind w:firstLine="480"/>
              <w:jc w:val="center"/>
              <w:rPr>
                <w:rFonts w:hint="eastAsia" w:ascii="仿宋" w:hAnsi="仿宋" w:eastAsia="仿宋" w:cs="仿宋"/>
                <w:sz w:val="24"/>
                <w:szCs w:val="24"/>
                <w:highlight w:val="none"/>
              </w:rPr>
            </w:pPr>
          </w:p>
        </w:tc>
        <w:tc>
          <w:tcPr>
            <w:tcW w:w="2355" w:type="dxa"/>
            <w:vAlign w:val="center"/>
          </w:tcPr>
          <w:p w14:paraId="6ED5C264">
            <w:pPr>
              <w:pStyle w:val="7"/>
              <w:tabs>
                <w:tab w:val="left" w:pos="6880"/>
              </w:tabs>
              <w:spacing w:line="360" w:lineRule="auto"/>
              <w:ind w:firstLine="480"/>
              <w:jc w:val="center"/>
              <w:rPr>
                <w:rFonts w:hint="eastAsia" w:ascii="仿宋" w:hAnsi="仿宋" w:eastAsia="仿宋" w:cs="仿宋"/>
                <w:sz w:val="24"/>
                <w:szCs w:val="24"/>
                <w:highlight w:val="none"/>
              </w:rPr>
            </w:pPr>
          </w:p>
        </w:tc>
        <w:tc>
          <w:tcPr>
            <w:tcW w:w="2834" w:type="dxa"/>
            <w:vAlign w:val="center"/>
          </w:tcPr>
          <w:p w14:paraId="16646AC3">
            <w:pPr>
              <w:pStyle w:val="7"/>
              <w:tabs>
                <w:tab w:val="left" w:pos="6880"/>
              </w:tabs>
              <w:spacing w:line="360" w:lineRule="auto"/>
              <w:ind w:firstLine="480"/>
              <w:jc w:val="center"/>
              <w:rPr>
                <w:rFonts w:hint="eastAsia" w:ascii="仿宋" w:hAnsi="仿宋" w:eastAsia="仿宋" w:cs="仿宋"/>
                <w:sz w:val="24"/>
                <w:szCs w:val="24"/>
                <w:highlight w:val="none"/>
              </w:rPr>
            </w:pPr>
          </w:p>
        </w:tc>
        <w:tc>
          <w:tcPr>
            <w:tcW w:w="1394" w:type="dxa"/>
            <w:vAlign w:val="center"/>
          </w:tcPr>
          <w:p w14:paraId="701D8415">
            <w:pPr>
              <w:pStyle w:val="7"/>
              <w:tabs>
                <w:tab w:val="left" w:pos="6880"/>
              </w:tabs>
              <w:spacing w:line="360" w:lineRule="auto"/>
              <w:ind w:firstLine="480"/>
              <w:jc w:val="center"/>
              <w:rPr>
                <w:rFonts w:hint="eastAsia" w:ascii="仿宋" w:hAnsi="仿宋" w:eastAsia="仿宋" w:cs="仿宋"/>
                <w:sz w:val="24"/>
                <w:szCs w:val="24"/>
                <w:highlight w:val="none"/>
              </w:rPr>
            </w:pPr>
          </w:p>
        </w:tc>
      </w:tr>
      <w:tr w14:paraId="2E33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44" w:type="dxa"/>
            <w:vAlign w:val="center"/>
          </w:tcPr>
          <w:p w14:paraId="38CC5435">
            <w:pPr>
              <w:pStyle w:val="7"/>
              <w:tabs>
                <w:tab w:val="left" w:pos="34"/>
              </w:tabs>
              <w:spacing w:line="360" w:lineRule="auto"/>
              <w:ind w:firstLine="0" w:firstLineChars="0"/>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5</w:t>
            </w:r>
          </w:p>
        </w:tc>
        <w:tc>
          <w:tcPr>
            <w:tcW w:w="2493" w:type="dxa"/>
            <w:vAlign w:val="center"/>
          </w:tcPr>
          <w:p w14:paraId="263D3F8A">
            <w:pPr>
              <w:pStyle w:val="7"/>
              <w:tabs>
                <w:tab w:val="left" w:pos="6880"/>
              </w:tabs>
              <w:spacing w:line="360" w:lineRule="auto"/>
              <w:ind w:firstLine="480"/>
              <w:jc w:val="center"/>
              <w:rPr>
                <w:rFonts w:hint="eastAsia" w:ascii="仿宋" w:hAnsi="仿宋" w:eastAsia="仿宋" w:cs="仿宋"/>
                <w:sz w:val="24"/>
                <w:szCs w:val="24"/>
                <w:highlight w:val="none"/>
              </w:rPr>
            </w:pPr>
          </w:p>
        </w:tc>
        <w:tc>
          <w:tcPr>
            <w:tcW w:w="2355" w:type="dxa"/>
            <w:vAlign w:val="center"/>
          </w:tcPr>
          <w:p w14:paraId="1EAC0FEB">
            <w:pPr>
              <w:pStyle w:val="7"/>
              <w:tabs>
                <w:tab w:val="left" w:pos="6880"/>
              </w:tabs>
              <w:spacing w:line="360" w:lineRule="auto"/>
              <w:ind w:firstLine="480"/>
              <w:jc w:val="center"/>
              <w:rPr>
                <w:rFonts w:hint="eastAsia" w:ascii="仿宋" w:hAnsi="仿宋" w:eastAsia="仿宋" w:cs="仿宋"/>
                <w:sz w:val="24"/>
                <w:szCs w:val="24"/>
                <w:highlight w:val="none"/>
              </w:rPr>
            </w:pPr>
          </w:p>
        </w:tc>
        <w:tc>
          <w:tcPr>
            <w:tcW w:w="2834" w:type="dxa"/>
            <w:vAlign w:val="center"/>
          </w:tcPr>
          <w:p w14:paraId="18FA7371">
            <w:pPr>
              <w:pStyle w:val="7"/>
              <w:tabs>
                <w:tab w:val="left" w:pos="6880"/>
              </w:tabs>
              <w:spacing w:line="360" w:lineRule="auto"/>
              <w:ind w:firstLine="480"/>
              <w:jc w:val="center"/>
              <w:rPr>
                <w:rFonts w:hint="eastAsia" w:ascii="仿宋" w:hAnsi="仿宋" w:eastAsia="仿宋" w:cs="仿宋"/>
                <w:sz w:val="24"/>
                <w:szCs w:val="24"/>
                <w:highlight w:val="none"/>
              </w:rPr>
            </w:pPr>
          </w:p>
        </w:tc>
        <w:tc>
          <w:tcPr>
            <w:tcW w:w="1394" w:type="dxa"/>
            <w:vAlign w:val="center"/>
          </w:tcPr>
          <w:p w14:paraId="0EB4A686">
            <w:pPr>
              <w:pStyle w:val="7"/>
              <w:tabs>
                <w:tab w:val="left" w:pos="6880"/>
              </w:tabs>
              <w:spacing w:line="360" w:lineRule="auto"/>
              <w:ind w:firstLine="480"/>
              <w:jc w:val="center"/>
              <w:rPr>
                <w:rFonts w:hint="eastAsia" w:ascii="仿宋" w:hAnsi="仿宋" w:eastAsia="仿宋" w:cs="仿宋"/>
                <w:sz w:val="24"/>
                <w:szCs w:val="24"/>
                <w:highlight w:val="none"/>
              </w:rPr>
            </w:pPr>
          </w:p>
        </w:tc>
      </w:tr>
    </w:tbl>
    <w:p w14:paraId="01FC2941">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szCs w:val="24"/>
          <w:highlight w:val="none"/>
        </w:rPr>
        <w:t>注意：投标人必须据实填写，不得虚假投标，虚假投标的，其投标文件无效并按规定追究其相关责任。</w:t>
      </w:r>
    </w:p>
    <w:p w14:paraId="40B76B93">
      <w:pPr>
        <w:adjustRightInd w:val="0"/>
        <w:spacing w:line="360" w:lineRule="auto"/>
        <w:ind w:firstLine="480" w:firstLineChars="200"/>
        <w:jc w:val="left"/>
        <w:rPr>
          <w:rFonts w:hint="eastAsia" w:ascii="仿宋" w:hAnsi="仿宋" w:eastAsia="仿宋" w:cs="仿宋"/>
          <w:sz w:val="24"/>
          <w:szCs w:val="24"/>
          <w:highlight w:val="none"/>
        </w:rPr>
      </w:pPr>
    </w:p>
    <w:p w14:paraId="3913384D">
      <w:pPr>
        <w:adjustRightInd w:val="0"/>
        <w:spacing w:line="360" w:lineRule="auto"/>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投标人人名称：XXX（盖单位公章）</w:t>
      </w:r>
    </w:p>
    <w:p w14:paraId="26C32F2B">
      <w:pPr>
        <w:adjustRightInd w:val="0"/>
        <w:spacing w:line="360" w:lineRule="auto"/>
        <w:ind w:firstLine="480" w:firstLineChars="200"/>
        <w:jc w:val="left"/>
        <w:rPr>
          <w:rFonts w:hint="eastAsia" w:ascii="仿宋" w:hAnsi="仿宋" w:eastAsia="仿宋" w:cs="仿宋"/>
          <w:bCs/>
          <w:sz w:val="24"/>
          <w:szCs w:val="24"/>
          <w:highlight w:val="none"/>
        </w:rPr>
      </w:pPr>
      <w:r>
        <w:rPr>
          <w:rFonts w:hint="eastAsia" w:ascii="仿宋" w:hAnsi="仿宋" w:eastAsia="仿宋" w:cs="仿宋"/>
          <w:bCs/>
          <w:sz w:val="24"/>
          <w:szCs w:val="24"/>
          <w:highlight w:val="none"/>
        </w:rPr>
        <w:t>法定代表人或授权代表（签字或盖章）：XXX</w:t>
      </w:r>
    </w:p>
    <w:p w14:paraId="6269AD3F">
      <w:pPr>
        <w:adjustRightInd w:val="0"/>
        <w:spacing w:line="360" w:lineRule="auto"/>
        <w:ind w:firstLine="480" w:firstLineChars="200"/>
        <w:jc w:val="left"/>
        <w:rPr>
          <w:rFonts w:hint="eastAsia" w:ascii="仿宋" w:hAnsi="仿宋" w:eastAsia="仿宋" w:cs="仿宋"/>
          <w:sz w:val="24"/>
          <w:szCs w:val="24"/>
          <w:highlight w:val="none"/>
        </w:rPr>
        <w:sectPr>
          <w:footerReference r:id="rId15" w:type="default"/>
          <w:pgSz w:w="11850" w:h="16783"/>
          <w:pgMar w:top="1417" w:right="1134" w:bottom="1417" w:left="1134" w:header="851" w:footer="992" w:gutter="0"/>
          <w:cols w:space="0" w:num="1"/>
          <w:docGrid w:linePitch="312" w:charSpace="0"/>
        </w:sectPr>
      </w:pPr>
      <w:r>
        <w:rPr>
          <w:rFonts w:hint="eastAsia" w:ascii="仿宋" w:hAnsi="仿宋" w:eastAsia="仿宋" w:cs="仿宋"/>
          <w:bCs/>
          <w:sz w:val="24"/>
          <w:szCs w:val="24"/>
          <w:highlight w:val="none"/>
        </w:rPr>
        <w:t>日  期：XXX年</w:t>
      </w:r>
    </w:p>
    <w:p w14:paraId="291587D5">
      <w:pPr>
        <w:spacing w:line="360" w:lineRule="auto"/>
        <w:jc w:val="left"/>
        <w:outlineLvl w:val="1"/>
        <w:rPr>
          <w:rFonts w:hint="eastAsia" w:ascii="仿宋" w:hAnsi="仿宋" w:eastAsia="仿宋" w:cs="仿宋"/>
          <w:b/>
          <w:sz w:val="28"/>
          <w:szCs w:val="28"/>
          <w:highlight w:val="none"/>
        </w:rPr>
      </w:pPr>
      <w:bookmarkStart w:id="128" w:name="_Toc15705"/>
      <w:r>
        <w:rPr>
          <w:rFonts w:hint="eastAsia" w:ascii="仿宋" w:hAnsi="仿宋" w:eastAsia="仿宋" w:cs="仿宋"/>
          <w:b/>
          <w:sz w:val="28"/>
          <w:szCs w:val="28"/>
          <w:highlight w:val="none"/>
        </w:rPr>
        <w:t>格式8 投标人针对本项目人员情况表</w:t>
      </w:r>
      <w:bookmarkEnd w:id="128"/>
    </w:p>
    <w:p w14:paraId="1651076C">
      <w:pPr>
        <w:spacing w:line="360" w:lineRule="auto"/>
        <w:jc w:val="center"/>
        <w:rPr>
          <w:rFonts w:hint="eastAsia" w:ascii="仿宋" w:hAnsi="仿宋" w:eastAsia="仿宋" w:cs="仿宋"/>
          <w:sz w:val="28"/>
          <w:szCs w:val="28"/>
          <w:highlight w:val="none"/>
        </w:rPr>
      </w:pPr>
      <w:r>
        <w:rPr>
          <w:rFonts w:hint="eastAsia" w:ascii="仿宋" w:hAnsi="仿宋" w:eastAsia="仿宋" w:cs="仿宋"/>
          <w:b/>
          <w:sz w:val="28"/>
          <w:szCs w:val="28"/>
          <w:highlight w:val="none"/>
        </w:rPr>
        <w:t>投标人针对本项目人员情况表</w:t>
      </w:r>
    </w:p>
    <w:p w14:paraId="23BCB991">
      <w:pPr>
        <w:pStyle w:val="7"/>
        <w:tabs>
          <w:tab w:val="left" w:pos="7020"/>
        </w:tabs>
        <w:spacing w:line="36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none"/>
        </w:rPr>
        <w:tab/>
      </w:r>
    </w:p>
    <w:p w14:paraId="286A5A17">
      <w:pPr>
        <w:pStyle w:val="7"/>
        <w:tabs>
          <w:tab w:val="left" w:pos="7560"/>
        </w:tabs>
        <w:spacing w:line="36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tbl>
      <w:tblPr>
        <w:tblStyle w:val="22"/>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488"/>
        <w:gridCol w:w="914"/>
        <w:gridCol w:w="914"/>
        <w:gridCol w:w="1229"/>
        <w:gridCol w:w="914"/>
        <w:gridCol w:w="914"/>
        <w:gridCol w:w="914"/>
        <w:gridCol w:w="914"/>
      </w:tblGrid>
      <w:tr w14:paraId="3964C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vAlign w:val="center"/>
          </w:tcPr>
          <w:p w14:paraId="5537DF4C">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类别</w:t>
            </w:r>
          </w:p>
        </w:tc>
        <w:tc>
          <w:tcPr>
            <w:tcW w:w="1488" w:type="dxa"/>
            <w:vMerge w:val="restart"/>
            <w:vAlign w:val="center"/>
          </w:tcPr>
          <w:p w14:paraId="14A0F1F2">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职务</w:t>
            </w:r>
          </w:p>
        </w:tc>
        <w:tc>
          <w:tcPr>
            <w:tcW w:w="914" w:type="dxa"/>
            <w:vMerge w:val="restart"/>
            <w:vAlign w:val="center"/>
          </w:tcPr>
          <w:p w14:paraId="6171F46E">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姓名</w:t>
            </w:r>
          </w:p>
        </w:tc>
        <w:tc>
          <w:tcPr>
            <w:tcW w:w="914" w:type="dxa"/>
            <w:vMerge w:val="restart"/>
            <w:vAlign w:val="center"/>
          </w:tcPr>
          <w:p w14:paraId="1AA2D515">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职称</w:t>
            </w:r>
          </w:p>
        </w:tc>
        <w:tc>
          <w:tcPr>
            <w:tcW w:w="1229" w:type="dxa"/>
            <w:vMerge w:val="restart"/>
            <w:vAlign w:val="center"/>
          </w:tcPr>
          <w:p w14:paraId="211B24C8">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常住地</w:t>
            </w:r>
          </w:p>
        </w:tc>
        <w:tc>
          <w:tcPr>
            <w:tcW w:w="3656" w:type="dxa"/>
            <w:gridSpan w:val="4"/>
            <w:vAlign w:val="center"/>
          </w:tcPr>
          <w:p w14:paraId="3476D057">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资格证明（附复印件）</w:t>
            </w:r>
          </w:p>
        </w:tc>
      </w:tr>
      <w:tr w14:paraId="79756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vAlign w:val="center"/>
          </w:tcPr>
          <w:p w14:paraId="72B559F2">
            <w:pPr>
              <w:spacing w:line="360" w:lineRule="auto"/>
              <w:jc w:val="center"/>
              <w:rPr>
                <w:rFonts w:hint="eastAsia" w:ascii="仿宋" w:hAnsi="仿宋" w:eastAsia="仿宋" w:cs="仿宋"/>
                <w:sz w:val="24"/>
                <w:szCs w:val="24"/>
                <w:highlight w:val="none"/>
              </w:rPr>
            </w:pPr>
          </w:p>
        </w:tc>
        <w:tc>
          <w:tcPr>
            <w:tcW w:w="1488" w:type="dxa"/>
            <w:vMerge w:val="continue"/>
            <w:vAlign w:val="center"/>
          </w:tcPr>
          <w:p w14:paraId="0BE7B3EE">
            <w:pPr>
              <w:spacing w:line="360" w:lineRule="auto"/>
              <w:jc w:val="center"/>
              <w:rPr>
                <w:rFonts w:hint="eastAsia" w:ascii="仿宋" w:hAnsi="仿宋" w:eastAsia="仿宋" w:cs="仿宋"/>
                <w:sz w:val="24"/>
                <w:szCs w:val="24"/>
                <w:highlight w:val="none"/>
              </w:rPr>
            </w:pPr>
          </w:p>
        </w:tc>
        <w:tc>
          <w:tcPr>
            <w:tcW w:w="914" w:type="dxa"/>
            <w:vMerge w:val="continue"/>
            <w:vAlign w:val="center"/>
          </w:tcPr>
          <w:p w14:paraId="4D15C049">
            <w:pPr>
              <w:spacing w:line="360" w:lineRule="auto"/>
              <w:jc w:val="center"/>
              <w:rPr>
                <w:rFonts w:hint="eastAsia" w:ascii="仿宋" w:hAnsi="仿宋" w:eastAsia="仿宋" w:cs="仿宋"/>
                <w:sz w:val="24"/>
                <w:szCs w:val="24"/>
                <w:highlight w:val="none"/>
              </w:rPr>
            </w:pPr>
          </w:p>
        </w:tc>
        <w:tc>
          <w:tcPr>
            <w:tcW w:w="914" w:type="dxa"/>
            <w:vMerge w:val="continue"/>
            <w:vAlign w:val="center"/>
          </w:tcPr>
          <w:p w14:paraId="1AA13572">
            <w:pPr>
              <w:spacing w:line="360" w:lineRule="auto"/>
              <w:jc w:val="center"/>
              <w:rPr>
                <w:rFonts w:hint="eastAsia" w:ascii="仿宋" w:hAnsi="仿宋" w:eastAsia="仿宋" w:cs="仿宋"/>
                <w:sz w:val="24"/>
                <w:szCs w:val="24"/>
                <w:highlight w:val="none"/>
              </w:rPr>
            </w:pPr>
          </w:p>
        </w:tc>
        <w:tc>
          <w:tcPr>
            <w:tcW w:w="1229" w:type="dxa"/>
            <w:vMerge w:val="continue"/>
            <w:vAlign w:val="center"/>
          </w:tcPr>
          <w:p w14:paraId="20806658">
            <w:pPr>
              <w:spacing w:line="360" w:lineRule="auto"/>
              <w:jc w:val="center"/>
              <w:rPr>
                <w:rFonts w:hint="eastAsia" w:ascii="仿宋" w:hAnsi="仿宋" w:eastAsia="仿宋" w:cs="仿宋"/>
                <w:sz w:val="24"/>
                <w:szCs w:val="24"/>
                <w:highlight w:val="none"/>
              </w:rPr>
            </w:pPr>
          </w:p>
        </w:tc>
        <w:tc>
          <w:tcPr>
            <w:tcW w:w="914" w:type="dxa"/>
            <w:vAlign w:val="center"/>
          </w:tcPr>
          <w:p w14:paraId="08291FDB">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证书</w:t>
            </w:r>
          </w:p>
          <w:p w14:paraId="2A93E056">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名称</w:t>
            </w:r>
          </w:p>
        </w:tc>
        <w:tc>
          <w:tcPr>
            <w:tcW w:w="914" w:type="dxa"/>
            <w:vAlign w:val="center"/>
          </w:tcPr>
          <w:p w14:paraId="42C820F6">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级别</w:t>
            </w:r>
          </w:p>
        </w:tc>
        <w:tc>
          <w:tcPr>
            <w:tcW w:w="914" w:type="dxa"/>
            <w:vAlign w:val="center"/>
          </w:tcPr>
          <w:p w14:paraId="5FA52A2B">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证号</w:t>
            </w:r>
          </w:p>
        </w:tc>
        <w:tc>
          <w:tcPr>
            <w:tcW w:w="914" w:type="dxa"/>
            <w:vAlign w:val="center"/>
          </w:tcPr>
          <w:p w14:paraId="00D0E727">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专业</w:t>
            </w:r>
          </w:p>
        </w:tc>
      </w:tr>
      <w:tr w14:paraId="68A41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vAlign w:val="center"/>
          </w:tcPr>
          <w:p w14:paraId="03ADF366">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管理</w:t>
            </w:r>
          </w:p>
          <w:p w14:paraId="3A5AB747">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人员</w:t>
            </w:r>
          </w:p>
        </w:tc>
        <w:tc>
          <w:tcPr>
            <w:tcW w:w="1488" w:type="dxa"/>
          </w:tcPr>
          <w:p w14:paraId="37936E18">
            <w:pPr>
              <w:spacing w:line="360" w:lineRule="auto"/>
              <w:rPr>
                <w:rFonts w:hint="eastAsia" w:ascii="仿宋" w:hAnsi="仿宋" w:eastAsia="仿宋" w:cs="仿宋"/>
                <w:sz w:val="24"/>
                <w:szCs w:val="24"/>
                <w:highlight w:val="none"/>
              </w:rPr>
            </w:pPr>
          </w:p>
        </w:tc>
        <w:tc>
          <w:tcPr>
            <w:tcW w:w="914" w:type="dxa"/>
          </w:tcPr>
          <w:p w14:paraId="7D4F4E25">
            <w:pPr>
              <w:spacing w:line="360" w:lineRule="auto"/>
              <w:rPr>
                <w:rFonts w:hint="eastAsia" w:ascii="仿宋" w:hAnsi="仿宋" w:eastAsia="仿宋" w:cs="仿宋"/>
                <w:sz w:val="24"/>
                <w:szCs w:val="24"/>
                <w:highlight w:val="none"/>
              </w:rPr>
            </w:pPr>
          </w:p>
        </w:tc>
        <w:tc>
          <w:tcPr>
            <w:tcW w:w="914" w:type="dxa"/>
          </w:tcPr>
          <w:p w14:paraId="535672AC">
            <w:pPr>
              <w:spacing w:line="360" w:lineRule="auto"/>
              <w:rPr>
                <w:rFonts w:hint="eastAsia" w:ascii="仿宋" w:hAnsi="仿宋" w:eastAsia="仿宋" w:cs="仿宋"/>
                <w:sz w:val="24"/>
                <w:szCs w:val="24"/>
                <w:highlight w:val="none"/>
              </w:rPr>
            </w:pPr>
          </w:p>
        </w:tc>
        <w:tc>
          <w:tcPr>
            <w:tcW w:w="1229" w:type="dxa"/>
          </w:tcPr>
          <w:p w14:paraId="253B7F51">
            <w:pPr>
              <w:spacing w:line="360" w:lineRule="auto"/>
              <w:rPr>
                <w:rFonts w:hint="eastAsia" w:ascii="仿宋" w:hAnsi="仿宋" w:eastAsia="仿宋" w:cs="仿宋"/>
                <w:sz w:val="24"/>
                <w:szCs w:val="24"/>
                <w:highlight w:val="none"/>
              </w:rPr>
            </w:pPr>
          </w:p>
        </w:tc>
        <w:tc>
          <w:tcPr>
            <w:tcW w:w="914" w:type="dxa"/>
          </w:tcPr>
          <w:p w14:paraId="468AA040">
            <w:pPr>
              <w:spacing w:line="360" w:lineRule="auto"/>
              <w:rPr>
                <w:rFonts w:hint="eastAsia" w:ascii="仿宋" w:hAnsi="仿宋" w:eastAsia="仿宋" w:cs="仿宋"/>
                <w:sz w:val="24"/>
                <w:szCs w:val="24"/>
                <w:highlight w:val="none"/>
              </w:rPr>
            </w:pPr>
          </w:p>
        </w:tc>
        <w:tc>
          <w:tcPr>
            <w:tcW w:w="914" w:type="dxa"/>
          </w:tcPr>
          <w:p w14:paraId="26636CFB">
            <w:pPr>
              <w:spacing w:line="360" w:lineRule="auto"/>
              <w:rPr>
                <w:rFonts w:hint="eastAsia" w:ascii="仿宋" w:hAnsi="仿宋" w:eastAsia="仿宋" w:cs="仿宋"/>
                <w:sz w:val="24"/>
                <w:szCs w:val="24"/>
                <w:highlight w:val="none"/>
              </w:rPr>
            </w:pPr>
          </w:p>
        </w:tc>
        <w:tc>
          <w:tcPr>
            <w:tcW w:w="914" w:type="dxa"/>
          </w:tcPr>
          <w:p w14:paraId="095CA8C4">
            <w:pPr>
              <w:spacing w:line="360" w:lineRule="auto"/>
              <w:rPr>
                <w:rFonts w:hint="eastAsia" w:ascii="仿宋" w:hAnsi="仿宋" w:eastAsia="仿宋" w:cs="仿宋"/>
                <w:sz w:val="24"/>
                <w:szCs w:val="24"/>
                <w:highlight w:val="none"/>
              </w:rPr>
            </w:pPr>
          </w:p>
        </w:tc>
        <w:tc>
          <w:tcPr>
            <w:tcW w:w="914" w:type="dxa"/>
          </w:tcPr>
          <w:p w14:paraId="1C748211">
            <w:pPr>
              <w:spacing w:line="360" w:lineRule="auto"/>
              <w:rPr>
                <w:rFonts w:hint="eastAsia" w:ascii="仿宋" w:hAnsi="仿宋" w:eastAsia="仿宋" w:cs="仿宋"/>
                <w:sz w:val="24"/>
                <w:szCs w:val="24"/>
                <w:highlight w:val="none"/>
              </w:rPr>
            </w:pPr>
          </w:p>
        </w:tc>
      </w:tr>
      <w:tr w14:paraId="3A35D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vAlign w:val="center"/>
          </w:tcPr>
          <w:p w14:paraId="54F8E7EC">
            <w:pPr>
              <w:spacing w:line="360" w:lineRule="auto"/>
              <w:jc w:val="center"/>
              <w:rPr>
                <w:rFonts w:hint="eastAsia" w:ascii="仿宋" w:hAnsi="仿宋" w:eastAsia="仿宋" w:cs="仿宋"/>
                <w:sz w:val="24"/>
                <w:szCs w:val="24"/>
                <w:highlight w:val="none"/>
              </w:rPr>
            </w:pPr>
          </w:p>
        </w:tc>
        <w:tc>
          <w:tcPr>
            <w:tcW w:w="1488" w:type="dxa"/>
          </w:tcPr>
          <w:p w14:paraId="6DDCFAB0">
            <w:pPr>
              <w:spacing w:line="360" w:lineRule="auto"/>
              <w:rPr>
                <w:rFonts w:hint="eastAsia" w:ascii="仿宋" w:hAnsi="仿宋" w:eastAsia="仿宋" w:cs="仿宋"/>
                <w:sz w:val="24"/>
                <w:szCs w:val="24"/>
                <w:highlight w:val="none"/>
              </w:rPr>
            </w:pPr>
          </w:p>
        </w:tc>
        <w:tc>
          <w:tcPr>
            <w:tcW w:w="914" w:type="dxa"/>
          </w:tcPr>
          <w:p w14:paraId="7FD1462F">
            <w:pPr>
              <w:spacing w:line="360" w:lineRule="auto"/>
              <w:rPr>
                <w:rFonts w:hint="eastAsia" w:ascii="仿宋" w:hAnsi="仿宋" w:eastAsia="仿宋" w:cs="仿宋"/>
                <w:sz w:val="24"/>
                <w:szCs w:val="24"/>
                <w:highlight w:val="none"/>
              </w:rPr>
            </w:pPr>
          </w:p>
        </w:tc>
        <w:tc>
          <w:tcPr>
            <w:tcW w:w="914" w:type="dxa"/>
          </w:tcPr>
          <w:p w14:paraId="04A365B5">
            <w:pPr>
              <w:spacing w:line="360" w:lineRule="auto"/>
              <w:rPr>
                <w:rFonts w:hint="eastAsia" w:ascii="仿宋" w:hAnsi="仿宋" w:eastAsia="仿宋" w:cs="仿宋"/>
                <w:sz w:val="24"/>
                <w:szCs w:val="24"/>
                <w:highlight w:val="none"/>
              </w:rPr>
            </w:pPr>
          </w:p>
        </w:tc>
        <w:tc>
          <w:tcPr>
            <w:tcW w:w="1229" w:type="dxa"/>
          </w:tcPr>
          <w:p w14:paraId="1E3B7CD9">
            <w:pPr>
              <w:spacing w:line="360" w:lineRule="auto"/>
              <w:rPr>
                <w:rFonts w:hint="eastAsia" w:ascii="仿宋" w:hAnsi="仿宋" w:eastAsia="仿宋" w:cs="仿宋"/>
                <w:sz w:val="24"/>
                <w:szCs w:val="24"/>
                <w:highlight w:val="none"/>
              </w:rPr>
            </w:pPr>
          </w:p>
        </w:tc>
        <w:tc>
          <w:tcPr>
            <w:tcW w:w="914" w:type="dxa"/>
          </w:tcPr>
          <w:p w14:paraId="1073D0D2">
            <w:pPr>
              <w:spacing w:line="360" w:lineRule="auto"/>
              <w:rPr>
                <w:rFonts w:hint="eastAsia" w:ascii="仿宋" w:hAnsi="仿宋" w:eastAsia="仿宋" w:cs="仿宋"/>
                <w:sz w:val="24"/>
                <w:szCs w:val="24"/>
                <w:highlight w:val="none"/>
              </w:rPr>
            </w:pPr>
          </w:p>
        </w:tc>
        <w:tc>
          <w:tcPr>
            <w:tcW w:w="914" w:type="dxa"/>
          </w:tcPr>
          <w:p w14:paraId="3954DF2F">
            <w:pPr>
              <w:spacing w:line="360" w:lineRule="auto"/>
              <w:rPr>
                <w:rFonts w:hint="eastAsia" w:ascii="仿宋" w:hAnsi="仿宋" w:eastAsia="仿宋" w:cs="仿宋"/>
                <w:sz w:val="24"/>
                <w:szCs w:val="24"/>
                <w:highlight w:val="none"/>
              </w:rPr>
            </w:pPr>
          </w:p>
        </w:tc>
        <w:tc>
          <w:tcPr>
            <w:tcW w:w="914" w:type="dxa"/>
          </w:tcPr>
          <w:p w14:paraId="2CDC3BA0">
            <w:pPr>
              <w:spacing w:line="360" w:lineRule="auto"/>
              <w:rPr>
                <w:rFonts w:hint="eastAsia" w:ascii="仿宋" w:hAnsi="仿宋" w:eastAsia="仿宋" w:cs="仿宋"/>
                <w:sz w:val="24"/>
                <w:szCs w:val="24"/>
                <w:highlight w:val="none"/>
              </w:rPr>
            </w:pPr>
          </w:p>
        </w:tc>
        <w:tc>
          <w:tcPr>
            <w:tcW w:w="914" w:type="dxa"/>
          </w:tcPr>
          <w:p w14:paraId="6A707D80">
            <w:pPr>
              <w:spacing w:line="360" w:lineRule="auto"/>
              <w:rPr>
                <w:rFonts w:hint="eastAsia" w:ascii="仿宋" w:hAnsi="仿宋" w:eastAsia="仿宋" w:cs="仿宋"/>
                <w:sz w:val="24"/>
                <w:szCs w:val="24"/>
                <w:highlight w:val="none"/>
              </w:rPr>
            </w:pPr>
          </w:p>
        </w:tc>
      </w:tr>
      <w:tr w14:paraId="08D57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vAlign w:val="center"/>
          </w:tcPr>
          <w:p w14:paraId="06A2C02F">
            <w:pPr>
              <w:spacing w:line="360" w:lineRule="auto"/>
              <w:jc w:val="center"/>
              <w:rPr>
                <w:rFonts w:hint="eastAsia" w:ascii="仿宋" w:hAnsi="仿宋" w:eastAsia="仿宋" w:cs="仿宋"/>
                <w:sz w:val="24"/>
                <w:szCs w:val="24"/>
                <w:highlight w:val="none"/>
              </w:rPr>
            </w:pPr>
          </w:p>
        </w:tc>
        <w:tc>
          <w:tcPr>
            <w:tcW w:w="1488" w:type="dxa"/>
          </w:tcPr>
          <w:p w14:paraId="7927309D">
            <w:pPr>
              <w:spacing w:line="360" w:lineRule="auto"/>
              <w:rPr>
                <w:rFonts w:hint="eastAsia" w:ascii="仿宋" w:hAnsi="仿宋" w:eastAsia="仿宋" w:cs="仿宋"/>
                <w:sz w:val="24"/>
                <w:szCs w:val="24"/>
                <w:highlight w:val="none"/>
              </w:rPr>
            </w:pPr>
          </w:p>
        </w:tc>
        <w:tc>
          <w:tcPr>
            <w:tcW w:w="914" w:type="dxa"/>
          </w:tcPr>
          <w:p w14:paraId="421CA46B">
            <w:pPr>
              <w:spacing w:line="360" w:lineRule="auto"/>
              <w:rPr>
                <w:rFonts w:hint="eastAsia" w:ascii="仿宋" w:hAnsi="仿宋" w:eastAsia="仿宋" w:cs="仿宋"/>
                <w:sz w:val="24"/>
                <w:szCs w:val="24"/>
                <w:highlight w:val="none"/>
              </w:rPr>
            </w:pPr>
          </w:p>
        </w:tc>
        <w:tc>
          <w:tcPr>
            <w:tcW w:w="914" w:type="dxa"/>
          </w:tcPr>
          <w:p w14:paraId="03F2B389">
            <w:pPr>
              <w:spacing w:line="360" w:lineRule="auto"/>
              <w:rPr>
                <w:rFonts w:hint="eastAsia" w:ascii="仿宋" w:hAnsi="仿宋" w:eastAsia="仿宋" w:cs="仿宋"/>
                <w:sz w:val="24"/>
                <w:szCs w:val="24"/>
                <w:highlight w:val="none"/>
              </w:rPr>
            </w:pPr>
          </w:p>
        </w:tc>
        <w:tc>
          <w:tcPr>
            <w:tcW w:w="1229" w:type="dxa"/>
          </w:tcPr>
          <w:p w14:paraId="5684D888">
            <w:pPr>
              <w:spacing w:line="360" w:lineRule="auto"/>
              <w:rPr>
                <w:rFonts w:hint="eastAsia" w:ascii="仿宋" w:hAnsi="仿宋" w:eastAsia="仿宋" w:cs="仿宋"/>
                <w:sz w:val="24"/>
                <w:szCs w:val="24"/>
                <w:highlight w:val="none"/>
              </w:rPr>
            </w:pPr>
          </w:p>
        </w:tc>
        <w:tc>
          <w:tcPr>
            <w:tcW w:w="914" w:type="dxa"/>
          </w:tcPr>
          <w:p w14:paraId="0447B592">
            <w:pPr>
              <w:spacing w:line="360" w:lineRule="auto"/>
              <w:rPr>
                <w:rFonts w:hint="eastAsia" w:ascii="仿宋" w:hAnsi="仿宋" w:eastAsia="仿宋" w:cs="仿宋"/>
                <w:sz w:val="24"/>
                <w:szCs w:val="24"/>
                <w:highlight w:val="none"/>
              </w:rPr>
            </w:pPr>
          </w:p>
        </w:tc>
        <w:tc>
          <w:tcPr>
            <w:tcW w:w="914" w:type="dxa"/>
          </w:tcPr>
          <w:p w14:paraId="1525F78B">
            <w:pPr>
              <w:spacing w:line="360" w:lineRule="auto"/>
              <w:rPr>
                <w:rFonts w:hint="eastAsia" w:ascii="仿宋" w:hAnsi="仿宋" w:eastAsia="仿宋" w:cs="仿宋"/>
                <w:sz w:val="24"/>
                <w:szCs w:val="24"/>
                <w:highlight w:val="none"/>
              </w:rPr>
            </w:pPr>
          </w:p>
        </w:tc>
        <w:tc>
          <w:tcPr>
            <w:tcW w:w="914" w:type="dxa"/>
          </w:tcPr>
          <w:p w14:paraId="417633D8">
            <w:pPr>
              <w:spacing w:line="360" w:lineRule="auto"/>
              <w:rPr>
                <w:rFonts w:hint="eastAsia" w:ascii="仿宋" w:hAnsi="仿宋" w:eastAsia="仿宋" w:cs="仿宋"/>
                <w:sz w:val="24"/>
                <w:szCs w:val="24"/>
                <w:highlight w:val="none"/>
              </w:rPr>
            </w:pPr>
          </w:p>
        </w:tc>
        <w:tc>
          <w:tcPr>
            <w:tcW w:w="914" w:type="dxa"/>
          </w:tcPr>
          <w:p w14:paraId="5EAD854C">
            <w:pPr>
              <w:spacing w:line="360" w:lineRule="auto"/>
              <w:rPr>
                <w:rFonts w:hint="eastAsia" w:ascii="仿宋" w:hAnsi="仿宋" w:eastAsia="仿宋" w:cs="仿宋"/>
                <w:sz w:val="24"/>
                <w:szCs w:val="24"/>
                <w:highlight w:val="none"/>
              </w:rPr>
            </w:pPr>
          </w:p>
        </w:tc>
      </w:tr>
      <w:tr w14:paraId="46000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vAlign w:val="center"/>
          </w:tcPr>
          <w:p w14:paraId="14E0AD6B">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技术</w:t>
            </w:r>
          </w:p>
          <w:p w14:paraId="52A4FE0D">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人员</w:t>
            </w:r>
          </w:p>
        </w:tc>
        <w:tc>
          <w:tcPr>
            <w:tcW w:w="1488" w:type="dxa"/>
          </w:tcPr>
          <w:p w14:paraId="723F4311">
            <w:pPr>
              <w:spacing w:line="360" w:lineRule="auto"/>
              <w:rPr>
                <w:rFonts w:hint="eastAsia" w:ascii="仿宋" w:hAnsi="仿宋" w:eastAsia="仿宋" w:cs="仿宋"/>
                <w:sz w:val="24"/>
                <w:szCs w:val="24"/>
                <w:highlight w:val="none"/>
              </w:rPr>
            </w:pPr>
          </w:p>
        </w:tc>
        <w:tc>
          <w:tcPr>
            <w:tcW w:w="914" w:type="dxa"/>
          </w:tcPr>
          <w:p w14:paraId="5528D73A">
            <w:pPr>
              <w:spacing w:line="360" w:lineRule="auto"/>
              <w:rPr>
                <w:rFonts w:hint="eastAsia" w:ascii="仿宋" w:hAnsi="仿宋" w:eastAsia="仿宋" w:cs="仿宋"/>
                <w:sz w:val="24"/>
                <w:szCs w:val="24"/>
                <w:highlight w:val="none"/>
              </w:rPr>
            </w:pPr>
          </w:p>
        </w:tc>
        <w:tc>
          <w:tcPr>
            <w:tcW w:w="914" w:type="dxa"/>
          </w:tcPr>
          <w:p w14:paraId="64DA46D7">
            <w:pPr>
              <w:spacing w:line="360" w:lineRule="auto"/>
              <w:rPr>
                <w:rFonts w:hint="eastAsia" w:ascii="仿宋" w:hAnsi="仿宋" w:eastAsia="仿宋" w:cs="仿宋"/>
                <w:sz w:val="24"/>
                <w:szCs w:val="24"/>
                <w:highlight w:val="none"/>
              </w:rPr>
            </w:pPr>
          </w:p>
        </w:tc>
        <w:tc>
          <w:tcPr>
            <w:tcW w:w="1229" w:type="dxa"/>
          </w:tcPr>
          <w:p w14:paraId="4D16DEC7">
            <w:pPr>
              <w:spacing w:line="360" w:lineRule="auto"/>
              <w:rPr>
                <w:rFonts w:hint="eastAsia" w:ascii="仿宋" w:hAnsi="仿宋" w:eastAsia="仿宋" w:cs="仿宋"/>
                <w:sz w:val="24"/>
                <w:szCs w:val="24"/>
                <w:highlight w:val="none"/>
              </w:rPr>
            </w:pPr>
          </w:p>
        </w:tc>
        <w:tc>
          <w:tcPr>
            <w:tcW w:w="914" w:type="dxa"/>
          </w:tcPr>
          <w:p w14:paraId="1A5AAFD8">
            <w:pPr>
              <w:spacing w:line="360" w:lineRule="auto"/>
              <w:rPr>
                <w:rFonts w:hint="eastAsia" w:ascii="仿宋" w:hAnsi="仿宋" w:eastAsia="仿宋" w:cs="仿宋"/>
                <w:sz w:val="24"/>
                <w:szCs w:val="24"/>
                <w:highlight w:val="none"/>
              </w:rPr>
            </w:pPr>
          </w:p>
        </w:tc>
        <w:tc>
          <w:tcPr>
            <w:tcW w:w="914" w:type="dxa"/>
          </w:tcPr>
          <w:p w14:paraId="7B74CD28">
            <w:pPr>
              <w:spacing w:line="360" w:lineRule="auto"/>
              <w:rPr>
                <w:rFonts w:hint="eastAsia" w:ascii="仿宋" w:hAnsi="仿宋" w:eastAsia="仿宋" w:cs="仿宋"/>
                <w:sz w:val="24"/>
                <w:szCs w:val="24"/>
                <w:highlight w:val="none"/>
              </w:rPr>
            </w:pPr>
          </w:p>
        </w:tc>
        <w:tc>
          <w:tcPr>
            <w:tcW w:w="914" w:type="dxa"/>
          </w:tcPr>
          <w:p w14:paraId="78479798">
            <w:pPr>
              <w:spacing w:line="360" w:lineRule="auto"/>
              <w:rPr>
                <w:rFonts w:hint="eastAsia" w:ascii="仿宋" w:hAnsi="仿宋" w:eastAsia="仿宋" w:cs="仿宋"/>
                <w:sz w:val="24"/>
                <w:szCs w:val="24"/>
                <w:highlight w:val="none"/>
              </w:rPr>
            </w:pPr>
          </w:p>
        </w:tc>
        <w:tc>
          <w:tcPr>
            <w:tcW w:w="914" w:type="dxa"/>
          </w:tcPr>
          <w:p w14:paraId="519F284B">
            <w:pPr>
              <w:spacing w:line="360" w:lineRule="auto"/>
              <w:rPr>
                <w:rFonts w:hint="eastAsia" w:ascii="仿宋" w:hAnsi="仿宋" w:eastAsia="仿宋" w:cs="仿宋"/>
                <w:sz w:val="24"/>
                <w:szCs w:val="24"/>
                <w:highlight w:val="none"/>
              </w:rPr>
            </w:pPr>
          </w:p>
        </w:tc>
      </w:tr>
      <w:tr w14:paraId="32D8A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vAlign w:val="center"/>
          </w:tcPr>
          <w:p w14:paraId="09823D67">
            <w:pPr>
              <w:spacing w:line="360" w:lineRule="auto"/>
              <w:jc w:val="center"/>
              <w:rPr>
                <w:rFonts w:hint="eastAsia" w:ascii="仿宋" w:hAnsi="仿宋" w:eastAsia="仿宋" w:cs="仿宋"/>
                <w:sz w:val="24"/>
                <w:szCs w:val="24"/>
                <w:highlight w:val="none"/>
              </w:rPr>
            </w:pPr>
          </w:p>
        </w:tc>
        <w:tc>
          <w:tcPr>
            <w:tcW w:w="1488" w:type="dxa"/>
          </w:tcPr>
          <w:p w14:paraId="24A5D185">
            <w:pPr>
              <w:spacing w:line="360" w:lineRule="auto"/>
              <w:rPr>
                <w:rFonts w:hint="eastAsia" w:ascii="仿宋" w:hAnsi="仿宋" w:eastAsia="仿宋" w:cs="仿宋"/>
                <w:sz w:val="24"/>
                <w:szCs w:val="24"/>
                <w:highlight w:val="none"/>
              </w:rPr>
            </w:pPr>
          </w:p>
        </w:tc>
        <w:tc>
          <w:tcPr>
            <w:tcW w:w="914" w:type="dxa"/>
          </w:tcPr>
          <w:p w14:paraId="482FCB9C">
            <w:pPr>
              <w:spacing w:line="360" w:lineRule="auto"/>
              <w:rPr>
                <w:rFonts w:hint="eastAsia" w:ascii="仿宋" w:hAnsi="仿宋" w:eastAsia="仿宋" w:cs="仿宋"/>
                <w:sz w:val="24"/>
                <w:szCs w:val="24"/>
                <w:highlight w:val="none"/>
              </w:rPr>
            </w:pPr>
          </w:p>
        </w:tc>
        <w:tc>
          <w:tcPr>
            <w:tcW w:w="914" w:type="dxa"/>
          </w:tcPr>
          <w:p w14:paraId="64D07800">
            <w:pPr>
              <w:spacing w:line="360" w:lineRule="auto"/>
              <w:rPr>
                <w:rFonts w:hint="eastAsia" w:ascii="仿宋" w:hAnsi="仿宋" w:eastAsia="仿宋" w:cs="仿宋"/>
                <w:sz w:val="24"/>
                <w:szCs w:val="24"/>
                <w:highlight w:val="none"/>
              </w:rPr>
            </w:pPr>
          </w:p>
        </w:tc>
        <w:tc>
          <w:tcPr>
            <w:tcW w:w="1229" w:type="dxa"/>
          </w:tcPr>
          <w:p w14:paraId="58236FE0">
            <w:pPr>
              <w:spacing w:line="360" w:lineRule="auto"/>
              <w:rPr>
                <w:rFonts w:hint="eastAsia" w:ascii="仿宋" w:hAnsi="仿宋" w:eastAsia="仿宋" w:cs="仿宋"/>
                <w:sz w:val="24"/>
                <w:szCs w:val="24"/>
                <w:highlight w:val="none"/>
              </w:rPr>
            </w:pPr>
          </w:p>
        </w:tc>
        <w:tc>
          <w:tcPr>
            <w:tcW w:w="914" w:type="dxa"/>
          </w:tcPr>
          <w:p w14:paraId="38AF5CA0">
            <w:pPr>
              <w:spacing w:line="360" w:lineRule="auto"/>
              <w:rPr>
                <w:rFonts w:hint="eastAsia" w:ascii="仿宋" w:hAnsi="仿宋" w:eastAsia="仿宋" w:cs="仿宋"/>
                <w:sz w:val="24"/>
                <w:szCs w:val="24"/>
                <w:highlight w:val="none"/>
              </w:rPr>
            </w:pPr>
          </w:p>
        </w:tc>
        <w:tc>
          <w:tcPr>
            <w:tcW w:w="914" w:type="dxa"/>
          </w:tcPr>
          <w:p w14:paraId="74E994AA">
            <w:pPr>
              <w:spacing w:line="360" w:lineRule="auto"/>
              <w:rPr>
                <w:rFonts w:hint="eastAsia" w:ascii="仿宋" w:hAnsi="仿宋" w:eastAsia="仿宋" w:cs="仿宋"/>
                <w:sz w:val="24"/>
                <w:szCs w:val="24"/>
                <w:highlight w:val="none"/>
              </w:rPr>
            </w:pPr>
          </w:p>
        </w:tc>
        <w:tc>
          <w:tcPr>
            <w:tcW w:w="914" w:type="dxa"/>
          </w:tcPr>
          <w:p w14:paraId="1C8F3351">
            <w:pPr>
              <w:spacing w:line="360" w:lineRule="auto"/>
              <w:rPr>
                <w:rFonts w:hint="eastAsia" w:ascii="仿宋" w:hAnsi="仿宋" w:eastAsia="仿宋" w:cs="仿宋"/>
                <w:sz w:val="24"/>
                <w:szCs w:val="24"/>
                <w:highlight w:val="none"/>
              </w:rPr>
            </w:pPr>
          </w:p>
        </w:tc>
        <w:tc>
          <w:tcPr>
            <w:tcW w:w="914" w:type="dxa"/>
          </w:tcPr>
          <w:p w14:paraId="7625F138">
            <w:pPr>
              <w:spacing w:line="360" w:lineRule="auto"/>
              <w:rPr>
                <w:rFonts w:hint="eastAsia" w:ascii="仿宋" w:hAnsi="仿宋" w:eastAsia="仿宋" w:cs="仿宋"/>
                <w:sz w:val="24"/>
                <w:szCs w:val="24"/>
                <w:highlight w:val="none"/>
              </w:rPr>
            </w:pPr>
          </w:p>
        </w:tc>
      </w:tr>
      <w:tr w14:paraId="76E6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vAlign w:val="center"/>
          </w:tcPr>
          <w:p w14:paraId="76CAF604">
            <w:pPr>
              <w:spacing w:line="360" w:lineRule="auto"/>
              <w:jc w:val="center"/>
              <w:rPr>
                <w:rFonts w:hint="eastAsia" w:ascii="仿宋" w:hAnsi="仿宋" w:eastAsia="仿宋" w:cs="仿宋"/>
                <w:sz w:val="24"/>
                <w:szCs w:val="24"/>
                <w:highlight w:val="none"/>
              </w:rPr>
            </w:pPr>
          </w:p>
        </w:tc>
        <w:tc>
          <w:tcPr>
            <w:tcW w:w="1488" w:type="dxa"/>
          </w:tcPr>
          <w:p w14:paraId="0AEB90AD">
            <w:pPr>
              <w:spacing w:line="360" w:lineRule="auto"/>
              <w:rPr>
                <w:rFonts w:hint="eastAsia" w:ascii="仿宋" w:hAnsi="仿宋" w:eastAsia="仿宋" w:cs="仿宋"/>
                <w:sz w:val="24"/>
                <w:szCs w:val="24"/>
                <w:highlight w:val="none"/>
              </w:rPr>
            </w:pPr>
          </w:p>
        </w:tc>
        <w:tc>
          <w:tcPr>
            <w:tcW w:w="914" w:type="dxa"/>
          </w:tcPr>
          <w:p w14:paraId="1457CD9F">
            <w:pPr>
              <w:spacing w:line="360" w:lineRule="auto"/>
              <w:rPr>
                <w:rFonts w:hint="eastAsia" w:ascii="仿宋" w:hAnsi="仿宋" w:eastAsia="仿宋" w:cs="仿宋"/>
                <w:sz w:val="24"/>
                <w:szCs w:val="24"/>
                <w:highlight w:val="none"/>
              </w:rPr>
            </w:pPr>
          </w:p>
        </w:tc>
        <w:tc>
          <w:tcPr>
            <w:tcW w:w="914" w:type="dxa"/>
          </w:tcPr>
          <w:p w14:paraId="4C134C1D">
            <w:pPr>
              <w:spacing w:line="360" w:lineRule="auto"/>
              <w:rPr>
                <w:rFonts w:hint="eastAsia" w:ascii="仿宋" w:hAnsi="仿宋" w:eastAsia="仿宋" w:cs="仿宋"/>
                <w:sz w:val="24"/>
                <w:szCs w:val="24"/>
                <w:highlight w:val="none"/>
              </w:rPr>
            </w:pPr>
          </w:p>
        </w:tc>
        <w:tc>
          <w:tcPr>
            <w:tcW w:w="1229" w:type="dxa"/>
          </w:tcPr>
          <w:p w14:paraId="202C02D2">
            <w:pPr>
              <w:spacing w:line="360" w:lineRule="auto"/>
              <w:rPr>
                <w:rFonts w:hint="eastAsia" w:ascii="仿宋" w:hAnsi="仿宋" w:eastAsia="仿宋" w:cs="仿宋"/>
                <w:sz w:val="24"/>
                <w:szCs w:val="24"/>
                <w:highlight w:val="none"/>
              </w:rPr>
            </w:pPr>
          </w:p>
        </w:tc>
        <w:tc>
          <w:tcPr>
            <w:tcW w:w="914" w:type="dxa"/>
          </w:tcPr>
          <w:p w14:paraId="5E7ED12A">
            <w:pPr>
              <w:spacing w:line="360" w:lineRule="auto"/>
              <w:rPr>
                <w:rFonts w:hint="eastAsia" w:ascii="仿宋" w:hAnsi="仿宋" w:eastAsia="仿宋" w:cs="仿宋"/>
                <w:sz w:val="24"/>
                <w:szCs w:val="24"/>
                <w:highlight w:val="none"/>
              </w:rPr>
            </w:pPr>
          </w:p>
        </w:tc>
        <w:tc>
          <w:tcPr>
            <w:tcW w:w="914" w:type="dxa"/>
          </w:tcPr>
          <w:p w14:paraId="343104BB">
            <w:pPr>
              <w:spacing w:line="360" w:lineRule="auto"/>
              <w:rPr>
                <w:rFonts w:hint="eastAsia" w:ascii="仿宋" w:hAnsi="仿宋" w:eastAsia="仿宋" w:cs="仿宋"/>
                <w:sz w:val="24"/>
                <w:szCs w:val="24"/>
                <w:highlight w:val="none"/>
              </w:rPr>
            </w:pPr>
          </w:p>
        </w:tc>
        <w:tc>
          <w:tcPr>
            <w:tcW w:w="914" w:type="dxa"/>
          </w:tcPr>
          <w:p w14:paraId="09C0F727">
            <w:pPr>
              <w:spacing w:line="360" w:lineRule="auto"/>
              <w:rPr>
                <w:rFonts w:hint="eastAsia" w:ascii="仿宋" w:hAnsi="仿宋" w:eastAsia="仿宋" w:cs="仿宋"/>
                <w:sz w:val="24"/>
                <w:szCs w:val="24"/>
                <w:highlight w:val="none"/>
              </w:rPr>
            </w:pPr>
          </w:p>
        </w:tc>
        <w:tc>
          <w:tcPr>
            <w:tcW w:w="914" w:type="dxa"/>
          </w:tcPr>
          <w:p w14:paraId="0560D76D">
            <w:pPr>
              <w:spacing w:line="360" w:lineRule="auto"/>
              <w:rPr>
                <w:rFonts w:hint="eastAsia" w:ascii="仿宋" w:hAnsi="仿宋" w:eastAsia="仿宋" w:cs="仿宋"/>
                <w:sz w:val="24"/>
                <w:szCs w:val="24"/>
                <w:highlight w:val="none"/>
              </w:rPr>
            </w:pPr>
          </w:p>
        </w:tc>
      </w:tr>
      <w:tr w14:paraId="56601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restart"/>
            <w:vAlign w:val="center"/>
          </w:tcPr>
          <w:p w14:paraId="4F21EC0B">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售后服</w:t>
            </w:r>
          </w:p>
          <w:p w14:paraId="5916A74C">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务人员</w:t>
            </w:r>
          </w:p>
        </w:tc>
        <w:tc>
          <w:tcPr>
            <w:tcW w:w="1488" w:type="dxa"/>
          </w:tcPr>
          <w:p w14:paraId="6A1BA9EF">
            <w:pPr>
              <w:spacing w:line="360" w:lineRule="auto"/>
              <w:rPr>
                <w:rFonts w:hint="eastAsia" w:ascii="仿宋" w:hAnsi="仿宋" w:eastAsia="仿宋" w:cs="仿宋"/>
                <w:sz w:val="24"/>
                <w:szCs w:val="24"/>
                <w:highlight w:val="none"/>
              </w:rPr>
            </w:pPr>
          </w:p>
        </w:tc>
        <w:tc>
          <w:tcPr>
            <w:tcW w:w="914" w:type="dxa"/>
          </w:tcPr>
          <w:p w14:paraId="055DAEC9">
            <w:pPr>
              <w:spacing w:line="360" w:lineRule="auto"/>
              <w:rPr>
                <w:rFonts w:hint="eastAsia" w:ascii="仿宋" w:hAnsi="仿宋" w:eastAsia="仿宋" w:cs="仿宋"/>
                <w:sz w:val="24"/>
                <w:szCs w:val="24"/>
                <w:highlight w:val="none"/>
              </w:rPr>
            </w:pPr>
          </w:p>
        </w:tc>
        <w:tc>
          <w:tcPr>
            <w:tcW w:w="914" w:type="dxa"/>
          </w:tcPr>
          <w:p w14:paraId="5710402E">
            <w:pPr>
              <w:spacing w:line="360" w:lineRule="auto"/>
              <w:rPr>
                <w:rFonts w:hint="eastAsia" w:ascii="仿宋" w:hAnsi="仿宋" w:eastAsia="仿宋" w:cs="仿宋"/>
                <w:sz w:val="24"/>
                <w:szCs w:val="24"/>
                <w:highlight w:val="none"/>
              </w:rPr>
            </w:pPr>
          </w:p>
        </w:tc>
        <w:tc>
          <w:tcPr>
            <w:tcW w:w="1229" w:type="dxa"/>
          </w:tcPr>
          <w:p w14:paraId="7CC78C1B">
            <w:pPr>
              <w:spacing w:line="360" w:lineRule="auto"/>
              <w:rPr>
                <w:rFonts w:hint="eastAsia" w:ascii="仿宋" w:hAnsi="仿宋" w:eastAsia="仿宋" w:cs="仿宋"/>
                <w:sz w:val="24"/>
                <w:szCs w:val="24"/>
                <w:highlight w:val="none"/>
              </w:rPr>
            </w:pPr>
          </w:p>
        </w:tc>
        <w:tc>
          <w:tcPr>
            <w:tcW w:w="914" w:type="dxa"/>
          </w:tcPr>
          <w:p w14:paraId="4F910144">
            <w:pPr>
              <w:spacing w:line="360" w:lineRule="auto"/>
              <w:rPr>
                <w:rFonts w:hint="eastAsia" w:ascii="仿宋" w:hAnsi="仿宋" w:eastAsia="仿宋" w:cs="仿宋"/>
                <w:sz w:val="24"/>
                <w:szCs w:val="24"/>
                <w:highlight w:val="none"/>
              </w:rPr>
            </w:pPr>
          </w:p>
        </w:tc>
        <w:tc>
          <w:tcPr>
            <w:tcW w:w="914" w:type="dxa"/>
          </w:tcPr>
          <w:p w14:paraId="574F9952">
            <w:pPr>
              <w:spacing w:line="360" w:lineRule="auto"/>
              <w:rPr>
                <w:rFonts w:hint="eastAsia" w:ascii="仿宋" w:hAnsi="仿宋" w:eastAsia="仿宋" w:cs="仿宋"/>
                <w:sz w:val="24"/>
                <w:szCs w:val="24"/>
                <w:highlight w:val="none"/>
              </w:rPr>
            </w:pPr>
          </w:p>
        </w:tc>
        <w:tc>
          <w:tcPr>
            <w:tcW w:w="914" w:type="dxa"/>
          </w:tcPr>
          <w:p w14:paraId="1C95F3CC">
            <w:pPr>
              <w:spacing w:line="360" w:lineRule="auto"/>
              <w:rPr>
                <w:rFonts w:hint="eastAsia" w:ascii="仿宋" w:hAnsi="仿宋" w:eastAsia="仿宋" w:cs="仿宋"/>
                <w:sz w:val="24"/>
                <w:szCs w:val="24"/>
                <w:highlight w:val="none"/>
              </w:rPr>
            </w:pPr>
          </w:p>
        </w:tc>
        <w:tc>
          <w:tcPr>
            <w:tcW w:w="914" w:type="dxa"/>
          </w:tcPr>
          <w:p w14:paraId="62AFFCCF">
            <w:pPr>
              <w:spacing w:line="360" w:lineRule="auto"/>
              <w:rPr>
                <w:rFonts w:hint="eastAsia" w:ascii="仿宋" w:hAnsi="仿宋" w:eastAsia="仿宋" w:cs="仿宋"/>
                <w:sz w:val="24"/>
                <w:szCs w:val="24"/>
                <w:highlight w:val="none"/>
              </w:rPr>
            </w:pPr>
          </w:p>
        </w:tc>
      </w:tr>
      <w:tr w14:paraId="6B4CD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tcPr>
          <w:p w14:paraId="4274833D">
            <w:pPr>
              <w:spacing w:line="360" w:lineRule="auto"/>
              <w:rPr>
                <w:rFonts w:hint="eastAsia" w:ascii="仿宋" w:hAnsi="仿宋" w:eastAsia="仿宋" w:cs="仿宋"/>
                <w:sz w:val="24"/>
                <w:szCs w:val="24"/>
                <w:highlight w:val="none"/>
              </w:rPr>
            </w:pPr>
          </w:p>
        </w:tc>
        <w:tc>
          <w:tcPr>
            <w:tcW w:w="1488" w:type="dxa"/>
          </w:tcPr>
          <w:p w14:paraId="4CF1F775">
            <w:pPr>
              <w:spacing w:line="360" w:lineRule="auto"/>
              <w:rPr>
                <w:rFonts w:hint="eastAsia" w:ascii="仿宋" w:hAnsi="仿宋" w:eastAsia="仿宋" w:cs="仿宋"/>
                <w:sz w:val="24"/>
                <w:szCs w:val="24"/>
                <w:highlight w:val="none"/>
              </w:rPr>
            </w:pPr>
          </w:p>
        </w:tc>
        <w:tc>
          <w:tcPr>
            <w:tcW w:w="914" w:type="dxa"/>
          </w:tcPr>
          <w:p w14:paraId="3443E902">
            <w:pPr>
              <w:spacing w:line="360" w:lineRule="auto"/>
              <w:rPr>
                <w:rFonts w:hint="eastAsia" w:ascii="仿宋" w:hAnsi="仿宋" w:eastAsia="仿宋" w:cs="仿宋"/>
                <w:sz w:val="24"/>
                <w:szCs w:val="24"/>
                <w:highlight w:val="none"/>
              </w:rPr>
            </w:pPr>
          </w:p>
        </w:tc>
        <w:tc>
          <w:tcPr>
            <w:tcW w:w="914" w:type="dxa"/>
          </w:tcPr>
          <w:p w14:paraId="1923A45B">
            <w:pPr>
              <w:spacing w:line="360" w:lineRule="auto"/>
              <w:rPr>
                <w:rFonts w:hint="eastAsia" w:ascii="仿宋" w:hAnsi="仿宋" w:eastAsia="仿宋" w:cs="仿宋"/>
                <w:sz w:val="24"/>
                <w:szCs w:val="24"/>
                <w:highlight w:val="none"/>
              </w:rPr>
            </w:pPr>
          </w:p>
        </w:tc>
        <w:tc>
          <w:tcPr>
            <w:tcW w:w="1229" w:type="dxa"/>
          </w:tcPr>
          <w:p w14:paraId="48824C43">
            <w:pPr>
              <w:spacing w:line="360" w:lineRule="auto"/>
              <w:rPr>
                <w:rFonts w:hint="eastAsia" w:ascii="仿宋" w:hAnsi="仿宋" w:eastAsia="仿宋" w:cs="仿宋"/>
                <w:sz w:val="24"/>
                <w:szCs w:val="24"/>
                <w:highlight w:val="none"/>
              </w:rPr>
            </w:pPr>
          </w:p>
        </w:tc>
        <w:tc>
          <w:tcPr>
            <w:tcW w:w="914" w:type="dxa"/>
          </w:tcPr>
          <w:p w14:paraId="59429484">
            <w:pPr>
              <w:spacing w:line="360" w:lineRule="auto"/>
              <w:rPr>
                <w:rFonts w:hint="eastAsia" w:ascii="仿宋" w:hAnsi="仿宋" w:eastAsia="仿宋" w:cs="仿宋"/>
                <w:sz w:val="24"/>
                <w:szCs w:val="24"/>
                <w:highlight w:val="none"/>
              </w:rPr>
            </w:pPr>
          </w:p>
        </w:tc>
        <w:tc>
          <w:tcPr>
            <w:tcW w:w="914" w:type="dxa"/>
          </w:tcPr>
          <w:p w14:paraId="2330B5CE">
            <w:pPr>
              <w:spacing w:line="360" w:lineRule="auto"/>
              <w:rPr>
                <w:rFonts w:hint="eastAsia" w:ascii="仿宋" w:hAnsi="仿宋" w:eastAsia="仿宋" w:cs="仿宋"/>
                <w:sz w:val="24"/>
                <w:szCs w:val="24"/>
                <w:highlight w:val="none"/>
              </w:rPr>
            </w:pPr>
          </w:p>
        </w:tc>
        <w:tc>
          <w:tcPr>
            <w:tcW w:w="914" w:type="dxa"/>
          </w:tcPr>
          <w:p w14:paraId="7340443B">
            <w:pPr>
              <w:spacing w:line="360" w:lineRule="auto"/>
              <w:rPr>
                <w:rFonts w:hint="eastAsia" w:ascii="仿宋" w:hAnsi="仿宋" w:eastAsia="仿宋" w:cs="仿宋"/>
                <w:sz w:val="24"/>
                <w:szCs w:val="24"/>
                <w:highlight w:val="none"/>
              </w:rPr>
            </w:pPr>
          </w:p>
        </w:tc>
        <w:tc>
          <w:tcPr>
            <w:tcW w:w="914" w:type="dxa"/>
          </w:tcPr>
          <w:p w14:paraId="0A265C25">
            <w:pPr>
              <w:spacing w:line="360" w:lineRule="auto"/>
              <w:rPr>
                <w:rFonts w:hint="eastAsia" w:ascii="仿宋" w:hAnsi="仿宋" w:eastAsia="仿宋" w:cs="仿宋"/>
                <w:sz w:val="24"/>
                <w:szCs w:val="24"/>
                <w:highlight w:val="none"/>
              </w:rPr>
            </w:pPr>
          </w:p>
        </w:tc>
      </w:tr>
      <w:tr w14:paraId="44C4A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7" w:type="dxa"/>
            <w:vMerge w:val="continue"/>
          </w:tcPr>
          <w:p w14:paraId="0EED6174">
            <w:pPr>
              <w:spacing w:line="360" w:lineRule="auto"/>
              <w:rPr>
                <w:rFonts w:hint="eastAsia" w:ascii="仿宋" w:hAnsi="仿宋" w:eastAsia="仿宋" w:cs="仿宋"/>
                <w:sz w:val="24"/>
                <w:szCs w:val="24"/>
                <w:highlight w:val="none"/>
              </w:rPr>
            </w:pPr>
          </w:p>
        </w:tc>
        <w:tc>
          <w:tcPr>
            <w:tcW w:w="1488" w:type="dxa"/>
          </w:tcPr>
          <w:p w14:paraId="35EF2738">
            <w:pPr>
              <w:spacing w:line="360" w:lineRule="auto"/>
              <w:rPr>
                <w:rFonts w:hint="eastAsia" w:ascii="仿宋" w:hAnsi="仿宋" w:eastAsia="仿宋" w:cs="仿宋"/>
                <w:sz w:val="24"/>
                <w:szCs w:val="24"/>
                <w:highlight w:val="none"/>
              </w:rPr>
            </w:pPr>
          </w:p>
        </w:tc>
        <w:tc>
          <w:tcPr>
            <w:tcW w:w="914" w:type="dxa"/>
          </w:tcPr>
          <w:p w14:paraId="656EE229">
            <w:pPr>
              <w:spacing w:line="360" w:lineRule="auto"/>
              <w:rPr>
                <w:rFonts w:hint="eastAsia" w:ascii="仿宋" w:hAnsi="仿宋" w:eastAsia="仿宋" w:cs="仿宋"/>
                <w:sz w:val="24"/>
                <w:szCs w:val="24"/>
                <w:highlight w:val="none"/>
              </w:rPr>
            </w:pPr>
          </w:p>
        </w:tc>
        <w:tc>
          <w:tcPr>
            <w:tcW w:w="914" w:type="dxa"/>
          </w:tcPr>
          <w:p w14:paraId="58FB44FC">
            <w:pPr>
              <w:spacing w:line="360" w:lineRule="auto"/>
              <w:rPr>
                <w:rFonts w:hint="eastAsia" w:ascii="仿宋" w:hAnsi="仿宋" w:eastAsia="仿宋" w:cs="仿宋"/>
                <w:sz w:val="24"/>
                <w:szCs w:val="24"/>
                <w:highlight w:val="none"/>
              </w:rPr>
            </w:pPr>
          </w:p>
        </w:tc>
        <w:tc>
          <w:tcPr>
            <w:tcW w:w="1229" w:type="dxa"/>
          </w:tcPr>
          <w:p w14:paraId="7CF31CE9">
            <w:pPr>
              <w:spacing w:line="360" w:lineRule="auto"/>
              <w:rPr>
                <w:rFonts w:hint="eastAsia" w:ascii="仿宋" w:hAnsi="仿宋" w:eastAsia="仿宋" w:cs="仿宋"/>
                <w:sz w:val="24"/>
                <w:szCs w:val="24"/>
                <w:highlight w:val="none"/>
              </w:rPr>
            </w:pPr>
          </w:p>
        </w:tc>
        <w:tc>
          <w:tcPr>
            <w:tcW w:w="914" w:type="dxa"/>
          </w:tcPr>
          <w:p w14:paraId="06375D19">
            <w:pPr>
              <w:spacing w:line="360" w:lineRule="auto"/>
              <w:rPr>
                <w:rFonts w:hint="eastAsia" w:ascii="仿宋" w:hAnsi="仿宋" w:eastAsia="仿宋" w:cs="仿宋"/>
                <w:sz w:val="24"/>
                <w:szCs w:val="24"/>
                <w:highlight w:val="none"/>
              </w:rPr>
            </w:pPr>
          </w:p>
        </w:tc>
        <w:tc>
          <w:tcPr>
            <w:tcW w:w="914" w:type="dxa"/>
          </w:tcPr>
          <w:p w14:paraId="11AA51C6">
            <w:pPr>
              <w:spacing w:line="360" w:lineRule="auto"/>
              <w:rPr>
                <w:rFonts w:hint="eastAsia" w:ascii="仿宋" w:hAnsi="仿宋" w:eastAsia="仿宋" w:cs="仿宋"/>
                <w:sz w:val="24"/>
                <w:szCs w:val="24"/>
                <w:highlight w:val="none"/>
              </w:rPr>
            </w:pPr>
          </w:p>
        </w:tc>
        <w:tc>
          <w:tcPr>
            <w:tcW w:w="914" w:type="dxa"/>
          </w:tcPr>
          <w:p w14:paraId="3E39C326">
            <w:pPr>
              <w:spacing w:line="360" w:lineRule="auto"/>
              <w:rPr>
                <w:rFonts w:hint="eastAsia" w:ascii="仿宋" w:hAnsi="仿宋" w:eastAsia="仿宋" w:cs="仿宋"/>
                <w:sz w:val="24"/>
                <w:szCs w:val="24"/>
                <w:highlight w:val="none"/>
              </w:rPr>
            </w:pPr>
          </w:p>
        </w:tc>
        <w:tc>
          <w:tcPr>
            <w:tcW w:w="914" w:type="dxa"/>
          </w:tcPr>
          <w:p w14:paraId="31154995">
            <w:pPr>
              <w:spacing w:line="360" w:lineRule="auto"/>
              <w:rPr>
                <w:rFonts w:hint="eastAsia" w:ascii="仿宋" w:hAnsi="仿宋" w:eastAsia="仿宋" w:cs="仿宋"/>
                <w:sz w:val="24"/>
                <w:szCs w:val="24"/>
                <w:highlight w:val="none"/>
              </w:rPr>
            </w:pPr>
          </w:p>
        </w:tc>
      </w:tr>
    </w:tbl>
    <w:p w14:paraId="776B9D7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投标人名称：XXX（盖单位公章）</w:t>
      </w:r>
    </w:p>
    <w:p w14:paraId="3B5A9CE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法定代表人或授权代表（签字）：XXX</w:t>
      </w:r>
    </w:p>
    <w:p w14:paraId="5C121F36">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日      期：XXX</w:t>
      </w:r>
    </w:p>
    <w:p w14:paraId="087BFCBB">
      <w:pPr>
        <w:spacing w:line="360" w:lineRule="auto"/>
        <w:rPr>
          <w:rFonts w:hint="eastAsia" w:ascii="仿宋" w:hAnsi="仿宋" w:eastAsia="仿宋" w:cs="仿宋"/>
          <w:sz w:val="24"/>
          <w:szCs w:val="24"/>
          <w:highlight w:val="none"/>
        </w:rPr>
      </w:pPr>
    </w:p>
    <w:p w14:paraId="453CA035">
      <w:pPr>
        <w:spacing w:line="360" w:lineRule="auto"/>
        <w:rPr>
          <w:rFonts w:hint="eastAsia" w:ascii="仿宋" w:hAnsi="仿宋" w:eastAsia="仿宋" w:cs="仿宋"/>
          <w:sz w:val="24"/>
          <w:szCs w:val="24"/>
          <w:highlight w:val="none"/>
        </w:rPr>
      </w:pPr>
    </w:p>
    <w:p w14:paraId="234E06A3">
      <w:pPr>
        <w:spacing w:line="360" w:lineRule="auto"/>
        <w:rPr>
          <w:rFonts w:hint="eastAsia" w:ascii="仿宋" w:hAnsi="仿宋" w:eastAsia="仿宋" w:cs="仿宋"/>
          <w:sz w:val="24"/>
          <w:szCs w:val="24"/>
          <w:highlight w:val="none"/>
        </w:rPr>
      </w:pPr>
    </w:p>
    <w:p w14:paraId="79553F7E">
      <w:pPr>
        <w:spacing w:line="360" w:lineRule="auto"/>
        <w:rPr>
          <w:rFonts w:hint="eastAsia" w:ascii="仿宋" w:hAnsi="仿宋" w:eastAsia="仿宋" w:cs="仿宋"/>
          <w:sz w:val="24"/>
          <w:szCs w:val="24"/>
          <w:highlight w:val="none"/>
        </w:rPr>
        <w:sectPr>
          <w:footerReference r:id="rId16" w:type="default"/>
          <w:footerReference r:id="rId17" w:type="even"/>
          <w:pgSz w:w="11850" w:h="16783"/>
          <w:pgMar w:top="1417" w:right="1134" w:bottom="1417" w:left="1134" w:header="851" w:footer="992" w:gutter="0"/>
          <w:cols w:space="0" w:num="1"/>
          <w:docGrid w:type="lines" w:linePitch="312" w:charSpace="0"/>
        </w:sectPr>
      </w:pPr>
    </w:p>
    <w:p w14:paraId="0B6BACA9">
      <w:pPr>
        <w:spacing w:line="360" w:lineRule="auto"/>
        <w:jc w:val="left"/>
        <w:outlineLvl w:val="1"/>
        <w:rPr>
          <w:rFonts w:hint="eastAsia" w:ascii="仿宋" w:hAnsi="仿宋" w:eastAsia="仿宋" w:cs="仿宋"/>
          <w:b/>
          <w:bCs/>
          <w:sz w:val="28"/>
          <w:szCs w:val="28"/>
          <w:highlight w:val="none"/>
        </w:rPr>
      </w:pPr>
      <w:bookmarkStart w:id="129" w:name="_Toc20369"/>
      <w:bookmarkStart w:id="130" w:name="_Toc30074"/>
      <w:bookmarkStart w:id="131" w:name="_Toc17041"/>
      <w:bookmarkStart w:id="132" w:name="_Toc21832"/>
      <w:r>
        <w:rPr>
          <w:rFonts w:hint="eastAsia" w:ascii="仿宋" w:hAnsi="仿宋" w:eastAsia="仿宋" w:cs="仿宋"/>
          <w:b/>
          <w:bCs/>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4285615</wp:posOffset>
                </wp:positionH>
                <wp:positionV relativeFrom="paragraph">
                  <wp:posOffset>426720</wp:posOffset>
                </wp:positionV>
                <wp:extent cx="1714500" cy="503555"/>
                <wp:effectExtent l="4445" t="4445" r="18415" b="10160"/>
                <wp:wrapNone/>
                <wp:docPr id="1" name="Rectangle 2"/>
                <wp:cNvGraphicFramePr/>
                <a:graphic xmlns:a="http://schemas.openxmlformats.org/drawingml/2006/main">
                  <a:graphicData uri="http://schemas.microsoft.com/office/word/2010/wordprocessingShape">
                    <wps:wsp>
                      <wps:cNvSpPr/>
                      <wps:spPr>
                        <a:xfrm>
                          <a:off x="0" y="0"/>
                          <a:ext cx="1714500" cy="5035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A6ED6C">
                            <w:pPr>
                              <w:jc w:val="center"/>
                              <w:rPr>
                                <w:b/>
                                <w:sz w:val="44"/>
                                <w:szCs w:val="44"/>
                              </w:rPr>
                            </w:pPr>
                            <w:r>
                              <w:rPr>
                                <w:rFonts w:hint="eastAsia"/>
                                <w:b/>
                                <w:sz w:val="44"/>
                                <w:szCs w:val="44"/>
                              </w:rPr>
                              <w:t>正本或副本</w:t>
                            </w:r>
                          </w:p>
                        </w:txbxContent>
                      </wps:txbx>
                      <wps:bodyPr upright="1"/>
                    </wps:wsp>
                  </a:graphicData>
                </a:graphic>
              </wp:anchor>
            </w:drawing>
          </mc:Choice>
          <mc:Fallback>
            <w:pict>
              <v:rect id="Rectangle 2" o:spid="_x0000_s1026" o:spt="1" style="position:absolute;left:0pt;margin-left:337.45pt;margin-top:33.6pt;height:39.65pt;width:135pt;z-index:251659264;mso-width-relative:page;mso-height-relative:page;" fillcolor="#FFFFFF" filled="t" stroked="t" coordsize="21600,21600" o:gfxdata="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nS3j9cAAAAKAQAADwAAAAAAAAABACAAAAAiAAAAZHJzL2Rvd25yZXYueG1sUEsB&#10;AhQAFAAAAAgAh07iQCRE7pP2AQAALAQAAA4AAAAAAAAAAQAgAAAAJgEAAGRycy9lMm9Eb2MueG1s&#10;UEsFBgAAAAAGAAYAWQEAAI4FAAAAAA==&#10;">
                <v:fill on="t" focussize="0,0"/>
                <v:stroke color="#000000" joinstyle="miter"/>
                <v:imagedata o:title=""/>
                <o:lock v:ext="edit" aspectratio="f"/>
                <v:textbox>
                  <w:txbxContent>
                    <w:p w14:paraId="5FA6ED6C">
                      <w:pPr>
                        <w:jc w:val="center"/>
                        <w:rPr>
                          <w:b/>
                          <w:sz w:val="44"/>
                          <w:szCs w:val="44"/>
                        </w:rPr>
                      </w:pPr>
                      <w:r>
                        <w:rPr>
                          <w:rFonts w:hint="eastAsia"/>
                          <w:b/>
                          <w:sz w:val="44"/>
                          <w:szCs w:val="44"/>
                        </w:rPr>
                        <w:t>正本或副本</w:t>
                      </w:r>
                    </w:p>
                  </w:txbxContent>
                </v:textbox>
              </v:rect>
            </w:pict>
          </mc:Fallback>
        </mc:AlternateContent>
      </w:r>
      <w:r>
        <w:rPr>
          <w:rFonts w:hint="eastAsia" w:ascii="仿宋" w:hAnsi="仿宋" w:eastAsia="仿宋" w:cs="仿宋"/>
          <w:b/>
          <w:bCs/>
          <w:sz w:val="28"/>
          <w:szCs w:val="28"/>
          <w:highlight w:val="none"/>
        </w:rPr>
        <w:t>格式9 投标文件封面格式</w:t>
      </w:r>
      <w:bookmarkEnd w:id="129"/>
      <w:bookmarkEnd w:id="130"/>
      <w:bookmarkEnd w:id="131"/>
      <w:bookmarkEnd w:id="132"/>
    </w:p>
    <w:p w14:paraId="20D9FAA8">
      <w:pPr>
        <w:pStyle w:val="34"/>
        <w:spacing w:before="46" w:after="46"/>
        <w:ind w:firstLine="480"/>
        <w:rPr>
          <w:rFonts w:hint="eastAsia" w:ascii="仿宋" w:hAnsi="仿宋" w:eastAsia="仿宋" w:cs="仿宋"/>
          <w:sz w:val="24"/>
          <w:szCs w:val="24"/>
          <w:highlight w:val="none"/>
        </w:rPr>
      </w:pPr>
    </w:p>
    <w:p w14:paraId="5B914EC1">
      <w:pPr>
        <w:pStyle w:val="34"/>
        <w:spacing w:before="46" w:after="46"/>
        <w:ind w:firstLine="482"/>
        <w:rPr>
          <w:rFonts w:hint="eastAsia" w:ascii="仿宋" w:hAnsi="仿宋" w:eastAsia="仿宋" w:cs="仿宋"/>
          <w:b/>
          <w:sz w:val="24"/>
          <w:szCs w:val="24"/>
          <w:highlight w:val="none"/>
        </w:rPr>
      </w:pPr>
    </w:p>
    <w:p w14:paraId="30032F37">
      <w:pPr>
        <w:pStyle w:val="34"/>
        <w:spacing w:before="46" w:after="46"/>
        <w:ind w:firstLine="0" w:firstLineChars="0"/>
        <w:jc w:val="center"/>
        <w:rPr>
          <w:rFonts w:hint="eastAsia" w:ascii="仿宋" w:hAnsi="仿宋" w:eastAsia="仿宋" w:cs="仿宋"/>
          <w:b/>
          <w:sz w:val="52"/>
          <w:szCs w:val="52"/>
          <w:highlight w:val="none"/>
        </w:rPr>
      </w:pPr>
      <w:r>
        <w:rPr>
          <w:rFonts w:hint="eastAsia" w:ascii="仿宋" w:hAnsi="仿宋" w:eastAsia="仿宋" w:cs="仿宋"/>
          <w:b/>
          <w:sz w:val="52"/>
          <w:szCs w:val="52"/>
          <w:highlight w:val="none"/>
        </w:rPr>
        <w:t>投  标  文  件</w:t>
      </w:r>
    </w:p>
    <w:p w14:paraId="24831448">
      <w:pPr>
        <w:pStyle w:val="34"/>
        <w:spacing w:before="46" w:after="46"/>
        <w:ind w:firstLine="240" w:firstLineChars="100"/>
        <w:rPr>
          <w:rFonts w:hint="eastAsia" w:ascii="仿宋" w:hAnsi="仿宋" w:eastAsia="仿宋" w:cs="仿宋"/>
          <w:sz w:val="24"/>
          <w:szCs w:val="24"/>
          <w:highlight w:val="none"/>
        </w:rPr>
      </w:pPr>
    </w:p>
    <w:p w14:paraId="7EE56DD8">
      <w:pPr>
        <w:pStyle w:val="34"/>
        <w:spacing w:before="46" w:after="46"/>
        <w:ind w:firstLine="280" w:firstLineChars="100"/>
        <w:jc w:val="center"/>
        <w:rPr>
          <w:rFonts w:hint="eastAsia" w:ascii="仿宋" w:hAnsi="仿宋" w:eastAsia="仿宋" w:cs="仿宋"/>
          <w:szCs w:val="28"/>
          <w:highlight w:val="none"/>
        </w:rPr>
      </w:pPr>
      <w:r>
        <w:rPr>
          <w:rFonts w:hint="eastAsia" w:ascii="仿宋" w:hAnsi="仿宋" w:eastAsia="仿宋" w:cs="仿宋"/>
          <w:szCs w:val="28"/>
          <w:highlight w:val="none"/>
        </w:rPr>
        <w:t>（资格性投标文件/其他投标文件）</w:t>
      </w:r>
    </w:p>
    <w:p w14:paraId="261E3114">
      <w:pPr>
        <w:pStyle w:val="34"/>
        <w:spacing w:before="46" w:after="46"/>
        <w:ind w:firstLine="480"/>
        <w:jc w:val="center"/>
        <w:rPr>
          <w:rFonts w:hint="eastAsia" w:ascii="仿宋" w:hAnsi="仿宋" w:eastAsia="仿宋" w:cs="仿宋"/>
          <w:sz w:val="24"/>
          <w:szCs w:val="24"/>
          <w:highlight w:val="none"/>
        </w:rPr>
      </w:pPr>
    </w:p>
    <w:p w14:paraId="7E0F3F9F">
      <w:pPr>
        <w:pStyle w:val="34"/>
        <w:spacing w:before="46" w:after="46"/>
        <w:ind w:firstLine="1680" w:firstLineChars="600"/>
        <w:rPr>
          <w:rFonts w:hint="eastAsia" w:ascii="仿宋" w:hAnsi="仿宋" w:eastAsia="仿宋" w:cs="仿宋"/>
          <w:szCs w:val="28"/>
          <w:highlight w:val="none"/>
          <w:u w:val="single"/>
        </w:rPr>
      </w:pPr>
      <w:r>
        <w:rPr>
          <w:rFonts w:hint="eastAsia" w:ascii="仿宋" w:hAnsi="仿宋" w:eastAsia="仿宋" w:cs="仿宋"/>
          <w:szCs w:val="28"/>
          <w:highlight w:val="none"/>
        </w:rPr>
        <w:t>项目编号：</w:t>
      </w:r>
      <w:r>
        <w:rPr>
          <w:rFonts w:hint="eastAsia" w:ascii="仿宋" w:hAnsi="仿宋" w:eastAsia="仿宋" w:cs="仿宋"/>
          <w:szCs w:val="28"/>
          <w:highlight w:val="none"/>
          <w:u w:val="single"/>
        </w:rPr>
        <w:t xml:space="preserve">                           </w:t>
      </w:r>
    </w:p>
    <w:p w14:paraId="77628005">
      <w:pPr>
        <w:pStyle w:val="34"/>
        <w:spacing w:before="46" w:after="46"/>
        <w:ind w:firstLine="1680" w:firstLineChars="600"/>
        <w:rPr>
          <w:rFonts w:hint="eastAsia" w:ascii="仿宋" w:hAnsi="仿宋" w:eastAsia="仿宋" w:cs="仿宋"/>
          <w:szCs w:val="28"/>
          <w:highlight w:val="none"/>
          <w:u w:val="single"/>
        </w:rPr>
      </w:pPr>
      <w:r>
        <w:rPr>
          <w:rFonts w:hint="eastAsia" w:ascii="仿宋" w:hAnsi="仿宋" w:eastAsia="仿宋" w:cs="仿宋"/>
          <w:szCs w:val="28"/>
          <w:highlight w:val="none"/>
        </w:rPr>
        <w:t>项目名称：</w:t>
      </w:r>
      <w:r>
        <w:rPr>
          <w:rFonts w:hint="eastAsia" w:ascii="仿宋" w:hAnsi="仿宋" w:eastAsia="仿宋" w:cs="仿宋"/>
          <w:szCs w:val="28"/>
          <w:highlight w:val="none"/>
          <w:u w:val="single"/>
        </w:rPr>
        <w:t xml:space="preserve">                           </w:t>
      </w:r>
    </w:p>
    <w:p w14:paraId="70D485AB">
      <w:pPr>
        <w:pStyle w:val="34"/>
        <w:spacing w:before="46" w:after="46"/>
        <w:ind w:firstLine="1680" w:firstLineChars="600"/>
        <w:rPr>
          <w:rFonts w:hint="eastAsia" w:ascii="仿宋" w:hAnsi="仿宋" w:eastAsia="仿宋" w:cs="仿宋"/>
          <w:szCs w:val="28"/>
          <w:highlight w:val="none"/>
          <w:u w:val="single"/>
        </w:rPr>
      </w:pPr>
      <w:r>
        <w:rPr>
          <w:rFonts w:hint="eastAsia" w:ascii="仿宋" w:hAnsi="仿宋" w:eastAsia="仿宋" w:cs="仿宋"/>
          <w:szCs w:val="28"/>
          <w:highlight w:val="none"/>
        </w:rPr>
        <w:t>投标人（加盖公章）：</w:t>
      </w:r>
      <w:r>
        <w:rPr>
          <w:rFonts w:hint="eastAsia" w:ascii="仿宋" w:hAnsi="仿宋" w:eastAsia="仿宋" w:cs="仿宋"/>
          <w:szCs w:val="28"/>
          <w:highlight w:val="none"/>
          <w:u w:val="single"/>
        </w:rPr>
        <w:t xml:space="preserve">                 </w:t>
      </w:r>
    </w:p>
    <w:p w14:paraId="18347567">
      <w:pPr>
        <w:pStyle w:val="34"/>
        <w:spacing w:before="46" w:after="46"/>
        <w:ind w:firstLine="1680" w:firstLineChars="600"/>
        <w:rPr>
          <w:rFonts w:hint="eastAsia" w:ascii="仿宋" w:hAnsi="仿宋" w:eastAsia="仿宋" w:cs="仿宋"/>
          <w:sz w:val="24"/>
          <w:szCs w:val="24"/>
          <w:highlight w:val="none"/>
          <w:u w:val="single"/>
        </w:rPr>
      </w:pPr>
      <w:r>
        <w:rPr>
          <w:rFonts w:hint="eastAsia" w:ascii="仿宋" w:hAnsi="仿宋" w:eastAsia="仿宋" w:cs="仿宋"/>
          <w:szCs w:val="28"/>
          <w:highlight w:val="none"/>
        </w:rPr>
        <w:t>法定代表人或其委托代理人签字：</w:t>
      </w:r>
      <w:r>
        <w:rPr>
          <w:rFonts w:hint="eastAsia" w:ascii="仿宋" w:hAnsi="仿宋" w:eastAsia="仿宋" w:cs="仿宋"/>
          <w:szCs w:val="28"/>
          <w:highlight w:val="none"/>
          <w:u w:val="single"/>
        </w:rPr>
        <w:t xml:space="preserve">       </w:t>
      </w:r>
    </w:p>
    <w:p w14:paraId="07984807">
      <w:pPr>
        <w:tabs>
          <w:tab w:val="left" w:pos="7665"/>
        </w:tabs>
        <w:spacing w:line="360" w:lineRule="auto"/>
        <w:jc w:val="right"/>
        <w:rPr>
          <w:rFonts w:hint="eastAsia" w:ascii="仿宋" w:hAnsi="仿宋" w:eastAsia="仿宋" w:cs="仿宋"/>
          <w:sz w:val="32"/>
          <w:szCs w:val="32"/>
          <w:highlight w:val="none"/>
        </w:rPr>
      </w:pPr>
    </w:p>
    <w:p w14:paraId="6B05CFE8">
      <w:pPr>
        <w:tabs>
          <w:tab w:val="left" w:pos="7665"/>
        </w:tabs>
        <w:spacing w:line="360" w:lineRule="auto"/>
        <w:jc w:val="right"/>
        <w:rPr>
          <w:rFonts w:hint="eastAsia" w:ascii="仿宋" w:hAnsi="仿宋" w:eastAsia="仿宋" w:cs="仿宋"/>
          <w:sz w:val="32"/>
          <w:szCs w:val="32"/>
          <w:highlight w:val="none"/>
        </w:rPr>
      </w:pPr>
    </w:p>
    <w:p w14:paraId="350A89D8">
      <w:pPr>
        <w:tabs>
          <w:tab w:val="left" w:pos="7665"/>
        </w:tabs>
        <w:spacing w:line="360" w:lineRule="auto"/>
        <w:jc w:val="right"/>
        <w:rPr>
          <w:rFonts w:hint="eastAsia" w:ascii="仿宋" w:hAnsi="仿宋" w:eastAsia="仿宋" w:cs="仿宋"/>
          <w:sz w:val="32"/>
          <w:szCs w:val="32"/>
          <w:highlight w:val="none"/>
        </w:rPr>
      </w:pPr>
    </w:p>
    <w:p w14:paraId="2866DB08">
      <w:pPr>
        <w:tabs>
          <w:tab w:val="left" w:pos="7665"/>
        </w:tabs>
        <w:spacing w:line="360" w:lineRule="auto"/>
        <w:jc w:val="right"/>
        <w:rPr>
          <w:rFonts w:hint="eastAsia" w:ascii="仿宋" w:hAnsi="仿宋" w:eastAsia="仿宋" w:cs="仿宋"/>
          <w:sz w:val="24"/>
          <w:szCs w:val="24"/>
          <w:highlight w:val="none"/>
        </w:rPr>
      </w:pPr>
      <w:r>
        <w:rPr>
          <w:rFonts w:hint="eastAsia" w:ascii="仿宋" w:hAnsi="仿宋" w:eastAsia="仿宋" w:cs="仿宋"/>
          <w:sz w:val="32"/>
          <w:szCs w:val="32"/>
          <w:highlight w:val="none"/>
        </w:rPr>
        <w:t>年     月     日</w:t>
      </w:r>
      <w:r>
        <w:rPr>
          <w:rFonts w:hint="eastAsia" w:ascii="仿宋" w:hAnsi="仿宋" w:eastAsia="仿宋" w:cs="仿宋"/>
          <w:sz w:val="24"/>
          <w:szCs w:val="24"/>
          <w:highlight w:val="none"/>
        </w:rPr>
        <w:t xml:space="preserve"> </w:t>
      </w:r>
    </w:p>
    <w:p w14:paraId="13E2B549">
      <w:pPr>
        <w:spacing w:line="360" w:lineRule="auto"/>
        <w:rPr>
          <w:rFonts w:hint="eastAsia" w:ascii="仿宋" w:hAnsi="仿宋" w:eastAsia="仿宋" w:cs="仿宋"/>
          <w:b/>
          <w:sz w:val="24"/>
          <w:szCs w:val="24"/>
          <w:highlight w:val="none"/>
        </w:rPr>
        <w:sectPr>
          <w:pgSz w:w="11850" w:h="16783"/>
          <w:pgMar w:top="1417" w:right="1134" w:bottom="1417" w:left="1134" w:header="851" w:footer="992" w:gutter="0"/>
          <w:cols w:space="0" w:num="1"/>
          <w:docGrid w:type="lines" w:linePitch="312" w:charSpace="0"/>
        </w:sectPr>
      </w:pPr>
    </w:p>
    <w:p w14:paraId="6CB1FD40">
      <w:pPr>
        <w:pStyle w:val="34"/>
        <w:spacing w:before="46" w:after="46"/>
        <w:ind w:firstLine="0" w:firstLineChars="0"/>
        <w:outlineLvl w:val="1"/>
        <w:rPr>
          <w:rFonts w:hint="eastAsia" w:ascii="仿宋" w:hAnsi="仿宋" w:eastAsia="仿宋" w:cs="仿宋"/>
          <w:b/>
          <w:szCs w:val="28"/>
          <w:highlight w:val="none"/>
        </w:rPr>
      </w:pPr>
      <w:bookmarkStart w:id="133" w:name="_Toc11403"/>
      <w:bookmarkStart w:id="134" w:name="_Toc7606"/>
      <w:r>
        <w:rPr>
          <w:rFonts w:hint="eastAsia" w:ascii="仿宋" w:hAnsi="仿宋" w:eastAsia="仿宋" w:cs="仿宋"/>
          <w:b/>
          <w:szCs w:val="28"/>
          <w:highlight w:val="none"/>
        </w:rPr>
        <w:t>格式10 开标一览表封面格式</w:t>
      </w:r>
      <w:bookmarkEnd w:id="133"/>
      <w:bookmarkEnd w:id="134"/>
    </w:p>
    <w:p w14:paraId="70747EC9">
      <w:pPr>
        <w:pStyle w:val="34"/>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4234180</wp:posOffset>
                </wp:positionH>
                <wp:positionV relativeFrom="paragraph">
                  <wp:posOffset>38735</wp:posOffset>
                </wp:positionV>
                <wp:extent cx="1714500" cy="495300"/>
                <wp:effectExtent l="4445" t="4445" r="18415" b="18415"/>
                <wp:wrapNone/>
                <wp:docPr id="2" name="矩形 3"/>
                <wp:cNvGraphicFramePr/>
                <a:graphic xmlns:a="http://schemas.openxmlformats.org/drawingml/2006/main">
                  <a:graphicData uri="http://schemas.microsoft.com/office/word/2010/wordprocessingShape">
                    <wps:wsp>
                      <wps:cNvSpPr/>
                      <wps:spPr>
                        <a:xfrm>
                          <a:off x="0" y="0"/>
                          <a:ext cx="17145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7D4D68">
                            <w:pPr>
                              <w:jc w:val="center"/>
                              <w:rPr>
                                <w:b/>
                                <w:sz w:val="44"/>
                                <w:szCs w:val="44"/>
                              </w:rPr>
                            </w:pPr>
                            <w:r>
                              <w:rPr>
                                <w:rFonts w:hint="eastAsia"/>
                                <w:b/>
                                <w:sz w:val="44"/>
                                <w:szCs w:val="44"/>
                              </w:rPr>
                              <w:t>正本或副本</w:t>
                            </w:r>
                          </w:p>
                        </w:txbxContent>
                      </wps:txbx>
                      <wps:bodyPr upright="1"/>
                    </wps:wsp>
                  </a:graphicData>
                </a:graphic>
              </wp:anchor>
            </w:drawing>
          </mc:Choice>
          <mc:Fallback>
            <w:pict>
              <v:rect id="矩形 3" o:spid="_x0000_s1026" o:spt="1" style="position:absolute;left:0pt;margin-left:333.4pt;margin-top:3.05pt;height:39pt;width:135pt;z-index:251660288;mso-width-relative:page;mso-height-relative:page;" fillcolor="#FFFFFF" filled="t" stroked="t" coordsize="21600,21600" o:gfxdata="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vecUPWAAAACAEAAA8AAAAAAAAAAQAgAAAAIgAAAGRycy9kb3du&#10;cmV2LnhtbFBLAQIUABQAAAAIAIdO4kChJ/yNAQIAACkEAAAOAAAAAAAAAAEAIAAAACUBAABkcnMv&#10;ZTJvRG9jLnhtbFBLBQYAAAAABgAGAFkBAACYBQAAAAA=&#10;">
                <v:fill on="t" focussize="0,0"/>
                <v:stroke color="#000000" joinstyle="miter"/>
                <v:imagedata o:title=""/>
                <o:lock v:ext="edit" aspectratio="f"/>
                <v:textbox>
                  <w:txbxContent>
                    <w:p w14:paraId="517D4D68">
                      <w:pPr>
                        <w:jc w:val="center"/>
                        <w:rPr>
                          <w:b/>
                          <w:sz w:val="44"/>
                          <w:szCs w:val="44"/>
                        </w:rPr>
                      </w:pPr>
                      <w:r>
                        <w:rPr>
                          <w:rFonts w:hint="eastAsia"/>
                          <w:b/>
                          <w:sz w:val="44"/>
                          <w:szCs w:val="44"/>
                        </w:rPr>
                        <w:t>正本或副本</w:t>
                      </w:r>
                    </w:p>
                  </w:txbxContent>
                </v:textbox>
              </v:rect>
            </w:pict>
          </mc:Fallback>
        </mc:AlternateContent>
      </w:r>
    </w:p>
    <w:p w14:paraId="243213B6">
      <w:pPr>
        <w:pStyle w:val="34"/>
        <w:spacing w:before="46" w:after="46"/>
        <w:ind w:firstLine="482"/>
        <w:rPr>
          <w:rFonts w:hint="eastAsia" w:ascii="仿宋" w:hAnsi="仿宋" w:eastAsia="仿宋" w:cs="仿宋"/>
          <w:b/>
          <w:sz w:val="24"/>
          <w:szCs w:val="24"/>
          <w:highlight w:val="none"/>
        </w:rPr>
      </w:pPr>
    </w:p>
    <w:p w14:paraId="70A1743A">
      <w:pPr>
        <w:pStyle w:val="34"/>
        <w:spacing w:before="46" w:after="46"/>
        <w:ind w:firstLine="241" w:firstLineChars="100"/>
        <w:rPr>
          <w:rFonts w:hint="eastAsia" w:ascii="仿宋" w:hAnsi="仿宋" w:eastAsia="仿宋" w:cs="仿宋"/>
          <w:b/>
          <w:sz w:val="24"/>
          <w:szCs w:val="24"/>
          <w:highlight w:val="none"/>
        </w:rPr>
      </w:pPr>
    </w:p>
    <w:p w14:paraId="5F0E3933">
      <w:pPr>
        <w:pStyle w:val="34"/>
        <w:spacing w:before="46" w:after="46"/>
        <w:ind w:firstLine="0" w:firstLineChars="0"/>
        <w:jc w:val="center"/>
        <w:rPr>
          <w:rFonts w:hint="eastAsia" w:ascii="仿宋" w:hAnsi="仿宋" w:eastAsia="仿宋" w:cs="仿宋"/>
          <w:b/>
          <w:sz w:val="52"/>
          <w:szCs w:val="52"/>
          <w:highlight w:val="none"/>
        </w:rPr>
      </w:pPr>
      <w:r>
        <w:rPr>
          <w:rFonts w:hint="eastAsia" w:ascii="仿宋" w:hAnsi="仿宋" w:eastAsia="仿宋" w:cs="仿宋"/>
          <w:b/>
          <w:sz w:val="52"/>
          <w:szCs w:val="52"/>
          <w:highlight w:val="none"/>
        </w:rPr>
        <w:t>投  标  文  件</w:t>
      </w:r>
    </w:p>
    <w:p w14:paraId="631A5873">
      <w:pPr>
        <w:pStyle w:val="34"/>
        <w:spacing w:before="46" w:after="46"/>
        <w:ind w:firstLine="0" w:firstLineChars="0"/>
        <w:jc w:val="center"/>
        <w:rPr>
          <w:rFonts w:hint="eastAsia" w:ascii="仿宋" w:hAnsi="仿宋" w:eastAsia="仿宋" w:cs="仿宋"/>
          <w:b/>
          <w:sz w:val="52"/>
          <w:szCs w:val="52"/>
          <w:highlight w:val="none"/>
        </w:rPr>
      </w:pPr>
    </w:p>
    <w:p w14:paraId="725F3FA3">
      <w:pPr>
        <w:pStyle w:val="34"/>
        <w:spacing w:before="46" w:after="46"/>
        <w:ind w:firstLine="0" w:firstLineChars="0"/>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（开标一览表/电子档）</w:t>
      </w:r>
    </w:p>
    <w:p w14:paraId="29C2AF0E">
      <w:pPr>
        <w:pStyle w:val="34"/>
        <w:spacing w:before="46" w:after="46"/>
        <w:ind w:firstLine="480"/>
        <w:jc w:val="center"/>
        <w:rPr>
          <w:rFonts w:hint="eastAsia" w:ascii="仿宋" w:hAnsi="仿宋" w:eastAsia="仿宋" w:cs="仿宋"/>
          <w:sz w:val="24"/>
          <w:szCs w:val="24"/>
          <w:highlight w:val="none"/>
        </w:rPr>
      </w:pPr>
    </w:p>
    <w:p w14:paraId="19FEAD38">
      <w:pPr>
        <w:pStyle w:val="34"/>
        <w:spacing w:before="46" w:after="46"/>
        <w:ind w:firstLine="2240" w:firstLineChars="800"/>
        <w:rPr>
          <w:rFonts w:hint="eastAsia" w:ascii="仿宋" w:hAnsi="仿宋" w:eastAsia="仿宋" w:cs="仿宋"/>
          <w:szCs w:val="28"/>
          <w:highlight w:val="none"/>
          <w:u w:val="single"/>
        </w:rPr>
      </w:pPr>
      <w:r>
        <w:rPr>
          <w:rFonts w:hint="eastAsia" w:ascii="仿宋" w:hAnsi="仿宋" w:eastAsia="仿宋" w:cs="仿宋"/>
          <w:szCs w:val="28"/>
          <w:highlight w:val="none"/>
        </w:rPr>
        <w:t>项目编号：</w:t>
      </w:r>
      <w:r>
        <w:rPr>
          <w:rFonts w:hint="eastAsia" w:ascii="仿宋" w:hAnsi="仿宋" w:eastAsia="仿宋" w:cs="仿宋"/>
          <w:szCs w:val="28"/>
          <w:highlight w:val="none"/>
          <w:u w:val="single"/>
        </w:rPr>
        <w:t xml:space="preserve">                           </w:t>
      </w:r>
    </w:p>
    <w:p w14:paraId="68EAC76B">
      <w:pPr>
        <w:pStyle w:val="34"/>
        <w:spacing w:before="46" w:after="46"/>
        <w:ind w:firstLine="2240" w:firstLineChars="800"/>
        <w:rPr>
          <w:rFonts w:hint="eastAsia" w:ascii="仿宋" w:hAnsi="仿宋" w:eastAsia="仿宋" w:cs="仿宋"/>
          <w:szCs w:val="28"/>
          <w:highlight w:val="none"/>
          <w:u w:val="single"/>
        </w:rPr>
      </w:pPr>
      <w:r>
        <w:rPr>
          <w:rFonts w:hint="eastAsia" w:ascii="仿宋" w:hAnsi="仿宋" w:eastAsia="仿宋" w:cs="仿宋"/>
          <w:szCs w:val="28"/>
          <w:highlight w:val="none"/>
        </w:rPr>
        <w:t>项目名称：</w:t>
      </w:r>
      <w:r>
        <w:rPr>
          <w:rFonts w:hint="eastAsia" w:ascii="仿宋" w:hAnsi="仿宋" w:eastAsia="仿宋" w:cs="仿宋"/>
          <w:szCs w:val="28"/>
          <w:highlight w:val="none"/>
          <w:u w:val="single"/>
        </w:rPr>
        <w:t xml:space="preserve">                           </w:t>
      </w:r>
    </w:p>
    <w:p w14:paraId="329A23BA">
      <w:pPr>
        <w:pStyle w:val="34"/>
        <w:spacing w:before="46" w:after="46"/>
        <w:ind w:firstLine="2240" w:firstLineChars="800"/>
        <w:rPr>
          <w:rFonts w:hint="eastAsia" w:ascii="仿宋" w:hAnsi="仿宋" w:eastAsia="仿宋" w:cs="仿宋"/>
          <w:szCs w:val="28"/>
          <w:highlight w:val="none"/>
          <w:u w:val="single"/>
        </w:rPr>
      </w:pPr>
      <w:r>
        <w:rPr>
          <w:rFonts w:hint="eastAsia" w:ascii="仿宋" w:hAnsi="仿宋" w:eastAsia="仿宋" w:cs="仿宋"/>
          <w:szCs w:val="28"/>
          <w:highlight w:val="none"/>
        </w:rPr>
        <w:t>投标人（加盖公章）：</w:t>
      </w:r>
      <w:r>
        <w:rPr>
          <w:rFonts w:hint="eastAsia" w:ascii="仿宋" w:hAnsi="仿宋" w:eastAsia="仿宋" w:cs="仿宋"/>
          <w:szCs w:val="28"/>
          <w:highlight w:val="none"/>
          <w:u w:val="single"/>
        </w:rPr>
        <w:t xml:space="preserve">                 </w:t>
      </w:r>
    </w:p>
    <w:p w14:paraId="769F8AF5">
      <w:pPr>
        <w:pStyle w:val="34"/>
        <w:spacing w:before="46" w:after="46"/>
        <w:ind w:firstLine="2240" w:firstLineChars="800"/>
        <w:rPr>
          <w:rFonts w:hint="eastAsia" w:ascii="仿宋" w:hAnsi="仿宋" w:eastAsia="仿宋" w:cs="仿宋"/>
          <w:szCs w:val="28"/>
          <w:highlight w:val="none"/>
          <w:u w:val="single"/>
        </w:rPr>
      </w:pPr>
      <w:r>
        <w:rPr>
          <w:rFonts w:hint="eastAsia" w:ascii="仿宋" w:hAnsi="仿宋" w:eastAsia="仿宋" w:cs="仿宋"/>
          <w:szCs w:val="28"/>
          <w:highlight w:val="none"/>
        </w:rPr>
        <w:t>法定代表人或其委托代理人签字：</w:t>
      </w:r>
      <w:r>
        <w:rPr>
          <w:rFonts w:hint="eastAsia" w:ascii="仿宋" w:hAnsi="仿宋" w:eastAsia="仿宋" w:cs="仿宋"/>
          <w:szCs w:val="28"/>
          <w:highlight w:val="none"/>
          <w:u w:val="single"/>
        </w:rPr>
        <w:t xml:space="preserve">       </w:t>
      </w:r>
    </w:p>
    <w:p w14:paraId="339A7C54">
      <w:pPr>
        <w:pStyle w:val="34"/>
        <w:spacing w:before="46" w:after="46"/>
        <w:ind w:firstLine="480"/>
        <w:rPr>
          <w:rFonts w:hint="eastAsia" w:ascii="仿宋" w:hAnsi="仿宋" w:eastAsia="仿宋" w:cs="仿宋"/>
          <w:sz w:val="24"/>
          <w:szCs w:val="24"/>
          <w:highlight w:val="none"/>
          <w:u w:val="single"/>
        </w:rPr>
      </w:pPr>
    </w:p>
    <w:p w14:paraId="65917340">
      <w:pPr>
        <w:pStyle w:val="34"/>
        <w:spacing w:before="46" w:after="46"/>
        <w:ind w:firstLine="480"/>
        <w:rPr>
          <w:rFonts w:hint="eastAsia" w:ascii="仿宋" w:hAnsi="仿宋" w:eastAsia="仿宋" w:cs="仿宋"/>
          <w:sz w:val="24"/>
          <w:szCs w:val="24"/>
          <w:highlight w:val="none"/>
          <w:u w:val="single"/>
        </w:rPr>
      </w:pPr>
    </w:p>
    <w:p w14:paraId="417B6301">
      <w:pPr>
        <w:pStyle w:val="34"/>
        <w:spacing w:before="46" w:after="46"/>
        <w:ind w:firstLine="480"/>
        <w:rPr>
          <w:rFonts w:hint="eastAsia" w:ascii="仿宋" w:hAnsi="仿宋" w:eastAsia="仿宋" w:cs="仿宋"/>
          <w:sz w:val="24"/>
          <w:szCs w:val="24"/>
          <w:highlight w:val="none"/>
          <w:u w:val="single"/>
        </w:rPr>
      </w:pPr>
    </w:p>
    <w:p w14:paraId="5C52EA97">
      <w:pPr>
        <w:widowControl/>
        <w:spacing w:line="360" w:lineRule="auto"/>
        <w:ind w:firstLine="240" w:firstLineChars="100"/>
        <w:jc w:val="right"/>
        <w:rPr>
          <w:rFonts w:hint="eastAsia" w:ascii="仿宋" w:hAnsi="仿宋" w:eastAsia="仿宋" w:cs="仿宋"/>
          <w:sz w:val="28"/>
          <w:szCs w:val="28"/>
          <w:highlight w:val="none"/>
        </w:rPr>
      </w:pPr>
      <w:r>
        <w:rPr>
          <w:rFonts w:hint="eastAsia" w:ascii="仿宋" w:hAnsi="仿宋" w:eastAsia="仿宋" w:cs="仿宋"/>
          <w:sz w:val="24"/>
          <w:szCs w:val="24"/>
          <w:highlight w:val="none"/>
        </w:rPr>
        <w:t xml:space="preserve">               </w:t>
      </w:r>
      <w:r>
        <w:rPr>
          <w:rFonts w:hint="eastAsia" w:ascii="仿宋" w:hAnsi="仿宋" w:eastAsia="仿宋" w:cs="仿宋"/>
          <w:sz w:val="28"/>
          <w:szCs w:val="28"/>
          <w:highlight w:val="none"/>
        </w:rPr>
        <w:t xml:space="preserve">   年     月    日</w:t>
      </w:r>
    </w:p>
    <w:p w14:paraId="5F72565D">
      <w:pPr>
        <w:widowControl/>
        <w:spacing w:line="360" w:lineRule="auto"/>
        <w:ind w:firstLine="240" w:firstLineChars="100"/>
        <w:jc w:val="left"/>
        <w:rPr>
          <w:rFonts w:hint="eastAsia" w:ascii="仿宋" w:hAnsi="仿宋" w:eastAsia="仿宋" w:cs="仿宋"/>
          <w:sz w:val="24"/>
          <w:szCs w:val="24"/>
          <w:highlight w:val="none"/>
        </w:rPr>
      </w:pPr>
    </w:p>
    <w:p w14:paraId="0B04D4B1">
      <w:pPr>
        <w:pStyle w:val="34"/>
        <w:spacing w:before="46" w:after="46"/>
        <w:ind w:firstLine="0" w:firstLineChars="0"/>
        <w:outlineLvl w:val="1"/>
        <w:rPr>
          <w:rFonts w:hint="eastAsia" w:ascii="仿宋" w:hAnsi="仿宋" w:eastAsia="仿宋" w:cs="仿宋"/>
          <w:b/>
          <w:bCs/>
          <w:sz w:val="24"/>
          <w:szCs w:val="24"/>
          <w:highlight w:val="none"/>
          <w:lang w:bidi="ar"/>
        </w:rPr>
      </w:pPr>
      <w:r>
        <w:rPr>
          <w:rFonts w:hint="eastAsia" w:ascii="仿宋" w:hAnsi="仿宋" w:eastAsia="仿宋" w:cs="仿宋"/>
          <w:b/>
          <w:bCs/>
          <w:sz w:val="24"/>
          <w:szCs w:val="24"/>
          <w:highlight w:val="none"/>
        </w:rPr>
        <w:br w:type="page"/>
      </w:r>
      <w:bookmarkStart w:id="135" w:name="_Toc7809"/>
      <w:r>
        <w:rPr>
          <w:rFonts w:hint="eastAsia" w:ascii="仿宋" w:hAnsi="仿宋" w:eastAsia="仿宋" w:cs="仿宋"/>
          <w:b/>
          <w:bCs/>
          <w:szCs w:val="28"/>
          <w:highlight w:val="none"/>
        </w:rPr>
        <w:t>格式11</w:t>
      </w:r>
      <w:r>
        <w:rPr>
          <w:rFonts w:hint="eastAsia" w:ascii="仿宋" w:hAnsi="仿宋" w:eastAsia="仿宋" w:cs="仿宋"/>
          <w:b/>
          <w:bCs/>
          <w:sz w:val="24"/>
          <w:szCs w:val="24"/>
          <w:highlight w:val="none"/>
        </w:rPr>
        <w:t xml:space="preserve"> </w:t>
      </w:r>
      <w:r>
        <w:rPr>
          <w:rFonts w:hint="eastAsia" w:ascii="仿宋" w:hAnsi="仿宋" w:eastAsia="仿宋" w:cs="仿宋"/>
          <w:b/>
          <w:bCs/>
          <w:szCs w:val="28"/>
          <w:highlight w:val="none"/>
          <w:lang w:bidi="ar"/>
        </w:rPr>
        <w:t>依法缴纳税收和社会保障资金承诺函</w:t>
      </w:r>
      <w:bookmarkEnd w:id="135"/>
    </w:p>
    <w:p w14:paraId="24E8D940">
      <w:pPr>
        <w:pStyle w:val="34"/>
        <w:spacing w:before="46" w:after="46"/>
        <w:ind w:firstLine="0" w:firstLineChars="0"/>
        <w:rPr>
          <w:rFonts w:hint="eastAsia" w:ascii="仿宋" w:hAnsi="仿宋" w:eastAsia="仿宋" w:cs="仿宋"/>
          <w:b/>
          <w:bCs/>
          <w:sz w:val="24"/>
          <w:szCs w:val="24"/>
          <w:highlight w:val="none"/>
          <w:lang w:bidi="ar"/>
        </w:rPr>
      </w:pPr>
    </w:p>
    <w:p w14:paraId="011C70A9">
      <w:pPr>
        <w:widowControl/>
        <w:spacing w:line="360" w:lineRule="auto"/>
        <w:jc w:val="center"/>
        <w:rPr>
          <w:rFonts w:hint="eastAsia" w:ascii="仿宋" w:hAnsi="仿宋" w:eastAsia="仿宋" w:cs="仿宋"/>
          <w:b/>
          <w:bCs/>
          <w:sz w:val="28"/>
          <w:szCs w:val="28"/>
          <w:highlight w:val="none"/>
          <w:lang w:bidi="ar"/>
        </w:rPr>
      </w:pPr>
      <w:r>
        <w:rPr>
          <w:rFonts w:hint="eastAsia" w:ascii="仿宋" w:hAnsi="仿宋" w:eastAsia="仿宋" w:cs="仿宋"/>
          <w:b/>
          <w:bCs/>
          <w:sz w:val="28"/>
          <w:szCs w:val="28"/>
          <w:highlight w:val="none"/>
          <w:lang w:bidi="ar"/>
        </w:rPr>
        <w:t>依法缴纳税收和社会保障资金承诺函</w:t>
      </w:r>
    </w:p>
    <w:p w14:paraId="58442175">
      <w:pPr>
        <w:widowControl/>
        <w:spacing w:line="360" w:lineRule="auto"/>
        <w:jc w:val="center"/>
        <w:rPr>
          <w:rFonts w:hint="eastAsia" w:ascii="仿宋" w:hAnsi="仿宋" w:eastAsia="仿宋" w:cs="仿宋"/>
          <w:b/>
          <w:bCs/>
          <w:sz w:val="24"/>
          <w:szCs w:val="24"/>
          <w:highlight w:val="none"/>
          <w:lang w:bidi="ar"/>
        </w:rPr>
      </w:pPr>
    </w:p>
    <w:p w14:paraId="3904BF2B">
      <w:pPr>
        <w:pStyle w:val="34"/>
        <w:spacing w:before="46" w:after="312" w:afterLines="100"/>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eastAsia="zh-CN"/>
        </w:rPr>
        <w:t>四川中采项目管理有限公司</w:t>
      </w:r>
      <w:r>
        <w:rPr>
          <w:rFonts w:hint="eastAsia" w:ascii="仿宋" w:hAnsi="仿宋" w:eastAsia="仿宋" w:cs="仿宋"/>
          <w:sz w:val="24"/>
          <w:szCs w:val="24"/>
          <w:highlight w:val="none"/>
          <w:u w:val="single"/>
        </w:rPr>
        <w:t xml:space="preserve"> </w:t>
      </w:r>
    </w:p>
    <w:p w14:paraId="0125F90B">
      <w:pPr>
        <w:pStyle w:val="19"/>
        <w:spacing w:before="0" w:beforeAutospacing="0" w:after="0" w:afterAutospacing="0" w:line="360" w:lineRule="auto"/>
        <w:ind w:firstLine="12" w:firstLineChars="5"/>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我单位现参与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项目（项目编号：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），并作出如下承诺：</w:t>
      </w:r>
    </w:p>
    <w:p w14:paraId="699CDFE9">
      <w:pPr>
        <w:pStyle w:val="19"/>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我单位依法缴纳税收和员工社会保险，随时接受采购人的检查验证。如违反上述承诺，我单位将按照相关规定接受处罚，并通过媒体予以公布。</w:t>
      </w:r>
    </w:p>
    <w:p w14:paraId="00C98291">
      <w:pPr>
        <w:pStyle w:val="19"/>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特此承诺。</w:t>
      </w:r>
    </w:p>
    <w:p w14:paraId="10A6B565">
      <w:pPr>
        <w:pStyle w:val="19"/>
        <w:spacing w:before="0" w:beforeAutospacing="0" w:after="0" w:afterAutospacing="0" w:line="360" w:lineRule="auto"/>
        <w:rPr>
          <w:rFonts w:hint="eastAsia" w:ascii="仿宋" w:hAnsi="仿宋" w:eastAsia="仿宋" w:cs="仿宋"/>
          <w:sz w:val="24"/>
          <w:szCs w:val="24"/>
          <w:highlight w:val="none"/>
        </w:rPr>
      </w:pPr>
    </w:p>
    <w:p w14:paraId="4721B907">
      <w:pPr>
        <w:pStyle w:val="34"/>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投标人名称（公章）：</w:t>
      </w:r>
    </w:p>
    <w:p w14:paraId="689D8A99">
      <w:pPr>
        <w:pStyle w:val="34"/>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法定代表人（或授权代表）签字：</w:t>
      </w:r>
    </w:p>
    <w:p w14:paraId="4AE2D970">
      <w:pPr>
        <w:pStyle w:val="34"/>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日    期</w:t>
      </w:r>
    </w:p>
    <w:p w14:paraId="79B582A5">
      <w:pPr>
        <w:pStyle w:val="34"/>
        <w:spacing w:before="46" w:after="46"/>
        <w:ind w:firstLine="480"/>
        <w:rPr>
          <w:rFonts w:hint="eastAsia" w:ascii="仿宋" w:hAnsi="仿宋" w:eastAsia="仿宋" w:cs="仿宋"/>
          <w:sz w:val="24"/>
          <w:szCs w:val="24"/>
          <w:highlight w:val="none"/>
        </w:rPr>
        <w:sectPr>
          <w:footerReference r:id="rId18" w:type="default"/>
          <w:pgSz w:w="11850" w:h="16783"/>
          <w:pgMar w:top="1417" w:right="1134" w:bottom="1417" w:left="1134" w:header="851" w:footer="992" w:gutter="0"/>
          <w:cols w:space="0" w:num="1"/>
          <w:docGrid w:type="lines" w:linePitch="312" w:charSpace="0"/>
        </w:sectPr>
      </w:pPr>
    </w:p>
    <w:p w14:paraId="4AFEF6E7">
      <w:pPr>
        <w:pStyle w:val="34"/>
        <w:spacing w:before="46" w:after="46"/>
        <w:ind w:firstLine="562"/>
        <w:outlineLvl w:val="1"/>
        <w:rPr>
          <w:rFonts w:hint="eastAsia" w:ascii="仿宋" w:hAnsi="仿宋" w:eastAsia="仿宋" w:cs="仿宋"/>
          <w:b/>
          <w:bCs/>
          <w:szCs w:val="28"/>
          <w:highlight w:val="none"/>
        </w:rPr>
      </w:pPr>
      <w:bookmarkStart w:id="136" w:name="_Toc20059"/>
      <w:bookmarkStart w:id="137" w:name="_Toc26488"/>
      <w:bookmarkStart w:id="138" w:name="_Toc8851"/>
      <w:r>
        <w:rPr>
          <w:rFonts w:hint="eastAsia" w:ascii="仿宋" w:hAnsi="仿宋" w:eastAsia="仿宋" w:cs="仿宋"/>
          <w:b/>
          <w:bCs/>
          <w:szCs w:val="28"/>
          <w:highlight w:val="none"/>
        </w:rPr>
        <w:t>格式12 无行贿犯罪记录承诺函</w:t>
      </w:r>
      <w:bookmarkEnd w:id="136"/>
      <w:bookmarkEnd w:id="137"/>
    </w:p>
    <w:p w14:paraId="528CE057">
      <w:pPr>
        <w:pStyle w:val="34"/>
        <w:spacing w:before="46" w:after="46"/>
        <w:ind w:firstLine="482"/>
        <w:rPr>
          <w:rFonts w:hint="eastAsia" w:ascii="仿宋" w:hAnsi="仿宋" w:eastAsia="仿宋" w:cs="仿宋"/>
          <w:b/>
          <w:bCs/>
          <w:sz w:val="24"/>
          <w:szCs w:val="24"/>
          <w:highlight w:val="none"/>
        </w:rPr>
      </w:pPr>
    </w:p>
    <w:p w14:paraId="3C94A5F5">
      <w:pPr>
        <w:widowControl/>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无行贿犯罪记录承诺函</w:t>
      </w:r>
    </w:p>
    <w:p w14:paraId="399AEBAC">
      <w:pPr>
        <w:pStyle w:val="34"/>
        <w:spacing w:before="46" w:after="312" w:afterLines="100"/>
        <w:ind w:firstLine="480"/>
        <w:rPr>
          <w:rFonts w:hint="eastAsia" w:ascii="仿宋" w:hAnsi="仿宋" w:eastAsia="仿宋" w:cs="仿宋"/>
          <w:sz w:val="24"/>
          <w:szCs w:val="24"/>
          <w:highlight w:val="none"/>
        </w:rPr>
      </w:pPr>
    </w:p>
    <w:p w14:paraId="25E3843A">
      <w:pPr>
        <w:pStyle w:val="34"/>
        <w:spacing w:before="46" w:after="312" w:afterLines="100"/>
        <w:ind w:firstLine="48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致：</w:t>
      </w:r>
      <w:r>
        <w:rPr>
          <w:rFonts w:hint="eastAsia" w:ascii="仿宋" w:hAnsi="仿宋" w:eastAsia="仿宋" w:cs="仿宋"/>
          <w:sz w:val="24"/>
          <w:szCs w:val="24"/>
          <w:highlight w:val="none"/>
          <w:u w:val="single"/>
          <w:lang w:eastAsia="zh-CN"/>
        </w:rPr>
        <w:t>四川中采项目管理有限公司</w:t>
      </w:r>
    </w:p>
    <w:p w14:paraId="4CFF29C2">
      <w:pPr>
        <w:pStyle w:val="19"/>
        <w:spacing w:before="0" w:beforeAutospacing="0" w:after="0" w:afterAutospacing="0" w:line="360" w:lineRule="auto"/>
        <w:ind w:firstLine="12" w:firstLineChars="5"/>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我单位现参与 项目（项目编号： ），并作出如下承诺：</w:t>
      </w:r>
    </w:p>
    <w:p w14:paraId="732DD8A9">
      <w:pPr>
        <w:pStyle w:val="19"/>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我</w:t>
      </w:r>
      <w:r>
        <w:rPr>
          <w:rFonts w:hint="eastAsia" w:ascii="仿宋" w:hAnsi="仿宋" w:eastAsia="仿宋" w:cs="仿宋"/>
          <w:sz w:val="24"/>
          <w:highlight w:val="none"/>
        </w:rPr>
        <w:t>单位及其现任法定代表人、主要负责人在参加采购活动前三年内无行贿犯罪记录，</w:t>
      </w:r>
    </w:p>
    <w:p w14:paraId="3AA8D659">
      <w:pPr>
        <w:pStyle w:val="19"/>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如违反上述承诺，我单位将按照相关规定接受处罚，并通过媒体予以公布。</w:t>
      </w:r>
    </w:p>
    <w:p w14:paraId="647DF186">
      <w:pPr>
        <w:pStyle w:val="19"/>
        <w:spacing w:before="0" w:beforeAutospacing="0" w:after="0" w:afterAutospacing="0"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特此承诺。</w:t>
      </w:r>
    </w:p>
    <w:p w14:paraId="68F0D33B">
      <w:pPr>
        <w:pStyle w:val="19"/>
        <w:spacing w:before="0" w:beforeAutospacing="0" w:after="0" w:afterAutospacing="0" w:line="360" w:lineRule="auto"/>
        <w:rPr>
          <w:rFonts w:hint="eastAsia" w:ascii="仿宋" w:hAnsi="仿宋" w:eastAsia="仿宋" w:cs="仿宋"/>
          <w:sz w:val="24"/>
          <w:szCs w:val="24"/>
          <w:highlight w:val="none"/>
        </w:rPr>
      </w:pPr>
    </w:p>
    <w:p w14:paraId="0CE3D72B">
      <w:pPr>
        <w:pStyle w:val="34"/>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投标人名称（公章）：</w:t>
      </w:r>
    </w:p>
    <w:p w14:paraId="3FBCC80E">
      <w:pPr>
        <w:pStyle w:val="34"/>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法定代表人（或授权代表）签字：</w:t>
      </w:r>
    </w:p>
    <w:p w14:paraId="5BC8F3CA">
      <w:pPr>
        <w:pStyle w:val="34"/>
        <w:spacing w:before="46" w:after="46"/>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日    期： XXX年XXX月XXX日  </w:t>
      </w:r>
    </w:p>
    <w:p w14:paraId="78BE2C34">
      <w:pPr>
        <w:pStyle w:val="4"/>
        <w:spacing w:line="360" w:lineRule="auto"/>
        <w:jc w:val="center"/>
        <w:rPr>
          <w:rFonts w:hint="eastAsia" w:ascii="仿宋" w:hAnsi="仿宋" w:eastAsia="仿宋" w:cs="仿宋"/>
          <w:sz w:val="36"/>
          <w:szCs w:val="36"/>
          <w:highlight w:val="none"/>
        </w:rPr>
      </w:pPr>
    </w:p>
    <w:p w14:paraId="72CB3EFF">
      <w:pPr>
        <w:pStyle w:val="4"/>
        <w:spacing w:line="360" w:lineRule="auto"/>
        <w:jc w:val="center"/>
        <w:rPr>
          <w:rFonts w:hint="eastAsia" w:ascii="仿宋" w:hAnsi="仿宋" w:eastAsia="仿宋" w:cs="仿宋"/>
          <w:sz w:val="36"/>
          <w:szCs w:val="36"/>
          <w:highlight w:val="none"/>
        </w:rPr>
      </w:pPr>
    </w:p>
    <w:p w14:paraId="375648C5">
      <w:pPr>
        <w:pStyle w:val="4"/>
        <w:spacing w:line="360" w:lineRule="auto"/>
        <w:rPr>
          <w:rFonts w:hint="eastAsia" w:ascii="仿宋" w:hAnsi="仿宋" w:eastAsia="仿宋" w:cs="仿宋"/>
          <w:sz w:val="36"/>
          <w:szCs w:val="36"/>
          <w:highlight w:val="none"/>
        </w:rPr>
      </w:pPr>
    </w:p>
    <w:p w14:paraId="7682E9CC">
      <w:pPr>
        <w:rPr>
          <w:rFonts w:hint="eastAsia" w:ascii="仿宋" w:hAnsi="仿宋" w:eastAsia="仿宋" w:cs="仿宋"/>
          <w:sz w:val="32"/>
          <w:highlight w:val="none"/>
        </w:rPr>
      </w:pPr>
    </w:p>
    <w:p w14:paraId="1E35CB93">
      <w:pPr>
        <w:pStyle w:val="4"/>
        <w:spacing w:line="360" w:lineRule="auto"/>
        <w:rPr>
          <w:rFonts w:hint="eastAsia" w:ascii="仿宋" w:hAnsi="仿宋" w:eastAsia="仿宋" w:cs="仿宋"/>
          <w:sz w:val="36"/>
          <w:szCs w:val="36"/>
          <w:highlight w:val="none"/>
        </w:rPr>
      </w:pPr>
    </w:p>
    <w:p w14:paraId="38F69DB9">
      <w:pPr>
        <w:rPr>
          <w:rFonts w:hint="eastAsia"/>
        </w:rPr>
      </w:pPr>
    </w:p>
    <w:p w14:paraId="756F4639">
      <w:pPr>
        <w:rPr>
          <w:rFonts w:hint="eastAsia" w:ascii="仿宋" w:hAnsi="仿宋" w:eastAsia="仿宋" w:cs="仿宋"/>
          <w:sz w:val="32"/>
          <w:highlight w:val="none"/>
        </w:rPr>
      </w:pPr>
    </w:p>
    <w:p w14:paraId="733199B8">
      <w:pPr>
        <w:pStyle w:val="2"/>
        <w:rPr>
          <w:rFonts w:hint="eastAsia"/>
        </w:rPr>
      </w:pPr>
    </w:p>
    <w:p w14:paraId="06F31488">
      <w:pPr>
        <w:pStyle w:val="4"/>
        <w:spacing w:line="360" w:lineRule="auto"/>
        <w:jc w:val="center"/>
        <w:rPr>
          <w:rFonts w:hint="eastAsia" w:ascii="仿宋" w:hAnsi="仿宋" w:eastAsia="仿宋" w:cs="仿宋"/>
          <w:sz w:val="36"/>
          <w:szCs w:val="36"/>
          <w:highlight w:val="none"/>
        </w:rPr>
      </w:pPr>
      <w:r>
        <w:rPr>
          <w:rFonts w:hint="eastAsia" w:ascii="仿宋" w:hAnsi="仿宋" w:eastAsia="仿宋" w:cs="仿宋"/>
          <w:sz w:val="36"/>
          <w:szCs w:val="36"/>
          <w:highlight w:val="none"/>
        </w:rPr>
        <w:t>第七章  评标方法</w:t>
      </w:r>
      <w:bookmarkEnd w:id="138"/>
    </w:p>
    <w:p w14:paraId="1FB87DF5">
      <w:pPr>
        <w:spacing w:line="360" w:lineRule="auto"/>
        <w:jc w:val="center"/>
        <w:outlineLvl w:val="1"/>
        <w:rPr>
          <w:rFonts w:hint="eastAsia" w:ascii="仿宋" w:hAnsi="仿宋" w:eastAsia="仿宋" w:cs="仿宋"/>
          <w:b/>
          <w:bCs/>
          <w:sz w:val="28"/>
          <w:szCs w:val="28"/>
          <w:highlight w:val="none"/>
        </w:rPr>
      </w:pPr>
      <w:bookmarkStart w:id="139" w:name="_Toc1262"/>
      <w:bookmarkStart w:id="140" w:name="_Toc209847065"/>
      <w:bookmarkStart w:id="141" w:name="_Toc101174146"/>
      <w:bookmarkStart w:id="142" w:name="_Toc101250640"/>
      <w:bookmarkStart w:id="143" w:name="_Toc101338358"/>
      <w:bookmarkStart w:id="144" w:name="_Toc430773924"/>
      <w:r>
        <w:rPr>
          <w:rFonts w:hint="eastAsia" w:ascii="仿宋" w:hAnsi="仿宋" w:eastAsia="仿宋" w:cs="仿宋"/>
          <w:b/>
          <w:bCs/>
          <w:sz w:val="28"/>
          <w:szCs w:val="28"/>
          <w:highlight w:val="none"/>
        </w:rPr>
        <w:t>一、总则</w:t>
      </w:r>
      <w:bookmarkEnd w:id="139"/>
    </w:p>
    <w:p w14:paraId="3A40FD9D">
      <w:pPr>
        <w:pStyle w:val="2"/>
        <w:ind w:firstLine="480" w:firstLineChars="200"/>
        <w:rPr>
          <w:rFonts w:hint="eastAsia" w:ascii="仿宋" w:hAnsi="仿宋" w:eastAsia="仿宋" w:cs="仿宋"/>
          <w:bCs/>
          <w:sz w:val="24"/>
          <w:highlight w:val="none"/>
        </w:rPr>
      </w:pPr>
      <w:r>
        <w:rPr>
          <w:rFonts w:hint="eastAsia" w:ascii="仿宋" w:hAnsi="仿宋" w:eastAsia="仿宋" w:cs="仿宋"/>
          <w:bCs/>
          <w:sz w:val="24"/>
          <w:highlight w:val="none"/>
        </w:rPr>
        <w:t>1.1 本项目参考政府采购的流程进行采购，受《民法》和《合同法》的约束和调整，结合本采购项目特点制定本评标方法。</w:t>
      </w:r>
    </w:p>
    <w:p w14:paraId="431F81A0">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1.2 评标工作由采购代理机构负责组织，具体评标事务由采购代理机构依法组建的评标小组负责。</w:t>
      </w:r>
      <w:r>
        <w:rPr>
          <w:rFonts w:hint="eastAsia" w:ascii="仿宋" w:hAnsi="仿宋" w:eastAsia="仿宋" w:cs="仿宋"/>
          <w:bCs/>
          <w:sz w:val="24"/>
          <w:highlight w:val="none"/>
        </w:rPr>
        <w:t>评标委员会由采购人代表和有关技术、经济、法律等方面的专家组成。</w:t>
      </w:r>
    </w:p>
    <w:p w14:paraId="3D174347">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1.3 评标工作应遵循公平、公正、科学及择优的原则，并以相同的评标程序和标准对待所有的投标人。</w:t>
      </w:r>
    </w:p>
    <w:p w14:paraId="5EAEFCC4">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1.4 评标小组按照招标文件规定的评标程序、评分方法和标准进行评标，并独立履行下列职责：</w:t>
      </w:r>
    </w:p>
    <w:p w14:paraId="16096AA7">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（一）熟悉和理解招标文件，确定招标文件内容是否违反国家有关强制性规定或者招标文件存在歧义、重大缺陷，根据需要书面要求采购人、采购代理机构对招标文件作出解释；</w:t>
      </w:r>
    </w:p>
    <w:p w14:paraId="5C00DA77">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（二）审查投标人投标文件是否满足招标文件要求，并作出公正评价；</w:t>
      </w:r>
    </w:p>
    <w:p w14:paraId="67DED82A">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（三）根据需要要求投标人对投标文件中含义不明确、同类问题表述不一致或者有明显文字和计算错误的内容等作出必要的澄清、说明或者更正；</w:t>
      </w:r>
    </w:p>
    <w:p w14:paraId="649B9DB9">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（四）推荐中标人，或者受采购人委托确定中标人；</w:t>
      </w:r>
    </w:p>
    <w:p w14:paraId="3A04D803">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（五）起草评标报告并进行签署；</w:t>
      </w:r>
    </w:p>
    <w:p w14:paraId="0B2A8723">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（六）向采购人、采购代理机构等报告非法干预评标工作的行为；</w:t>
      </w:r>
    </w:p>
    <w:p w14:paraId="23BB6D13">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（七）其他职责。</w:t>
      </w:r>
    </w:p>
    <w:p w14:paraId="1452050D">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1.5 评标过程独立、保密。投标人非法干预评标过程的，其投标文件作无效处理。</w:t>
      </w:r>
    </w:p>
    <w:p w14:paraId="21A253A0">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sz w:val="24"/>
          <w:szCs w:val="24"/>
          <w:highlight w:val="none"/>
        </w:rPr>
        <w:t>1.6评标委员会评价投标文件的实质性，对于投标人而言，除评标委员会要求其澄清、说明或者更正而提供的资料外，仅依据投标文件本身的内容，不寻求其他外部证据。</w:t>
      </w:r>
    </w:p>
    <w:p w14:paraId="76B0D1CE">
      <w:pPr>
        <w:spacing w:line="360" w:lineRule="auto"/>
        <w:jc w:val="center"/>
        <w:outlineLvl w:val="1"/>
        <w:rPr>
          <w:rFonts w:hint="eastAsia" w:ascii="仿宋" w:hAnsi="仿宋" w:eastAsia="仿宋" w:cs="仿宋"/>
          <w:b/>
          <w:sz w:val="28"/>
          <w:szCs w:val="28"/>
          <w:highlight w:val="none"/>
        </w:rPr>
      </w:pPr>
      <w:bookmarkStart w:id="145" w:name="_Toc23766"/>
      <w:bookmarkStart w:id="146" w:name="_Toc24313"/>
      <w:r>
        <w:rPr>
          <w:rFonts w:hint="eastAsia" w:ascii="仿宋" w:hAnsi="仿宋" w:eastAsia="仿宋" w:cs="仿宋"/>
          <w:b/>
          <w:sz w:val="28"/>
          <w:szCs w:val="28"/>
          <w:highlight w:val="none"/>
        </w:rPr>
        <w:t>二、评标方法</w:t>
      </w:r>
      <w:bookmarkEnd w:id="145"/>
      <w:bookmarkEnd w:id="146"/>
    </w:p>
    <w:p w14:paraId="34ED6943">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本项目评标方法为：综合评分法。综合评分法</w:t>
      </w:r>
      <w:r>
        <w:rPr>
          <w:rFonts w:hint="eastAsia" w:ascii="仿宋" w:hAnsi="仿宋" w:eastAsia="仿宋" w:cs="仿宋"/>
          <w:snapToGrid w:val="0"/>
          <w:sz w:val="24"/>
          <w:szCs w:val="24"/>
          <w:highlight w:val="none"/>
        </w:rPr>
        <w:t>是指投标文件满足招标文件且按评标因素的量化指标评标得分最高的投标人为中标候选人的评标方法。</w:t>
      </w:r>
    </w:p>
    <w:p w14:paraId="44478FD4">
      <w:pPr>
        <w:spacing w:line="360" w:lineRule="auto"/>
        <w:jc w:val="center"/>
        <w:outlineLvl w:val="1"/>
        <w:rPr>
          <w:rFonts w:hint="eastAsia" w:ascii="仿宋" w:hAnsi="仿宋" w:eastAsia="仿宋" w:cs="仿宋"/>
          <w:b/>
          <w:sz w:val="28"/>
          <w:szCs w:val="28"/>
          <w:highlight w:val="none"/>
        </w:rPr>
      </w:pPr>
      <w:bookmarkStart w:id="147" w:name="_Toc14377"/>
      <w:r>
        <w:rPr>
          <w:rFonts w:hint="eastAsia" w:ascii="仿宋" w:hAnsi="仿宋" w:eastAsia="仿宋" w:cs="仿宋"/>
          <w:b/>
          <w:sz w:val="28"/>
          <w:szCs w:val="28"/>
          <w:highlight w:val="none"/>
        </w:rPr>
        <w:t>三、评标程序</w:t>
      </w:r>
      <w:bookmarkEnd w:id="147"/>
    </w:p>
    <w:p w14:paraId="3572B628">
      <w:pPr>
        <w:spacing w:line="360" w:lineRule="auto"/>
        <w:ind w:firstLine="472" w:firstLineChars="196"/>
        <w:rPr>
          <w:rFonts w:hint="eastAsia" w:ascii="仿宋" w:hAnsi="仿宋" w:eastAsia="仿宋" w:cs="仿宋"/>
          <w:b/>
          <w:sz w:val="24"/>
          <w:szCs w:val="24"/>
          <w:highlight w:val="none"/>
        </w:rPr>
      </w:pPr>
    </w:p>
    <w:p w14:paraId="40F6C6C3">
      <w:pPr>
        <w:spacing w:line="360" w:lineRule="auto"/>
        <w:ind w:firstLine="472" w:firstLineChars="196"/>
        <w:rPr>
          <w:rFonts w:hint="eastAsia" w:ascii="仿宋" w:hAnsi="仿宋" w:eastAsia="仿宋" w:cs="仿宋"/>
          <w:b/>
          <w:sz w:val="24"/>
          <w:szCs w:val="24"/>
          <w:highlight w:val="none"/>
        </w:rPr>
      </w:pPr>
    </w:p>
    <w:p w14:paraId="17CFF3D5">
      <w:pPr>
        <w:spacing w:line="360" w:lineRule="auto"/>
        <w:ind w:firstLine="472" w:firstLineChars="196"/>
        <w:rPr>
          <w:rFonts w:hint="eastAsia" w:ascii="仿宋" w:hAnsi="仿宋" w:eastAsia="仿宋" w:cs="仿宋"/>
          <w:b/>
          <w:sz w:val="24"/>
          <w:szCs w:val="24"/>
          <w:highlight w:val="none"/>
        </w:rPr>
      </w:pPr>
    </w:p>
    <w:p w14:paraId="61EA2D0A">
      <w:pPr>
        <w:spacing w:line="360" w:lineRule="auto"/>
        <w:ind w:firstLine="472" w:firstLineChars="196"/>
        <w:rPr>
          <w:rFonts w:hint="eastAsia" w:ascii="仿宋" w:hAnsi="仿宋" w:eastAsia="仿宋" w:cs="仿宋"/>
          <w:b/>
          <w:sz w:val="24"/>
          <w:szCs w:val="24"/>
          <w:highlight w:val="none"/>
        </w:rPr>
      </w:pPr>
    </w:p>
    <w:p w14:paraId="266CA081">
      <w:pPr>
        <w:spacing w:line="360" w:lineRule="auto"/>
        <w:ind w:firstLine="472" w:firstLineChars="196"/>
        <w:rPr>
          <w:rFonts w:hint="eastAsia" w:ascii="仿宋" w:hAnsi="仿宋" w:eastAsia="仿宋" w:cs="仿宋"/>
          <w:b/>
          <w:sz w:val="24"/>
          <w:szCs w:val="24"/>
          <w:highlight w:val="none"/>
        </w:rPr>
      </w:pPr>
      <w:r>
        <w:rPr>
          <w:rFonts w:hint="eastAsia" w:ascii="仿宋" w:hAnsi="仿宋" w:eastAsia="仿宋" w:cs="仿宋"/>
          <w:b/>
          <w:sz w:val="24"/>
          <w:szCs w:val="24"/>
          <w:highlight w:val="none"/>
        </w:rPr>
        <w:t>2.1审查招标文件和停止评标。</w:t>
      </w:r>
    </w:p>
    <w:p w14:paraId="5B567CBF">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2.1.1 评标小组正式评标前，应当对招标文件进行熟悉和理解，内容主要包括招标文件中投标人资格条件要求、采购项目技术、服务和商务要求、评标办法和标准、采购要求以及采购合同主要条款等。</w:t>
      </w:r>
    </w:p>
    <w:p w14:paraId="3DF80F87">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2.1.2 本招标文件有下列情形之一的，评标小组应当停止评标：</w:t>
      </w:r>
    </w:p>
    <w:p w14:paraId="6D29E0F8">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（1）招标文件的规定存在歧义、重大缺陷的；</w:t>
      </w:r>
    </w:p>
    <w:p w14:paraId="7229B1A6">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（2）招标文件明显以不合理条件对投标人实行差别待遇或者歧视待遇的；</w:t>
      </w:r>
    </w:p>
    <w:p w14:paraId="0AEABF24">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sz w:val="24"/>
          <w:highlight w:val="none"/>
        </w:rPr>
        <w:t>（3）招标文件规定的评标方法是综合评分法、最低评标价法之外的评标方法，或者虽然名称为综合评分法、最低评标价法，但实际上不符合国家规定；</w:t>
      </w:r>
    </w:p>
    <w:p w14:paraId="01EE01C7">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（4）招标文件将投标人的资格条件列为评分因素的；</w:t>
      </w:r>
    </w:p>
    <w:p w14:paraId="6D8308CC">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（5）招标文件载明的中标原则不合法的；</w:t>
      </w:r>
    </w:p>
    <w:p w14:paraId="08C200CF">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（6）招标文件有违反国家其他有关强制性规定的情形。</w:t>
      </w:r>
    </w:p>
    <w:p w14:paraId="208FADFF">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2.1.3 出现本条2.1.2规定应当停止评标情形的，评标小组应当向采购人书面说明情况。除本条规定的情形外，评标小组不得以任何方式和理由停止评标。</w:t>
      </w:r>
    </w:p>
    <w:p w14:paraId="0CBC001B">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szCs w:val="24"/>
          <w:highlight w:val="none"/>
        </w:rPr>
        <w:t>2.2 开标</w:t>
      </w:r>
    </w:p>
    <w:p w14:paraId="7EAAD1B0">
      <w:pPr>
        <w:spacing w:before="120"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2.2.1 开标在招标文件规定的时间和地点公开进行，采购人、投标人应派代表参加并签到以证明其出席。开标由采购代理机构主持，邀请投标人参加。评标委员会成员不参加开标活动。</w:t>
      </w:r>
    </w:p>
    <w:p w14:paraId="611811D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2.2.2 开标时，可根据具体情况邀请有关监督管理部门对开标活动进行现场监督。</w:t>
      </w:r>
    </w:p>
    <w:p w14:paraId="4162CB8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2.2.3 开标时，由投标人或者其推选的代表检查其自己递交的投标文件的密封情况，经确认无误后，由代理机构工作人员将投标人的“开标一览表”当众拆封，并由唱标人员按照招标文件规定的内容进行宣读，并加以记录。</w:t>
      </w:r>
    </w:p>
    <w:p w14:paraId="4569BD1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投标人或者其推选的代表确认投标文件情况，仅限于确认其自己递交的投标文件的密封情况，不代表对其他投标人的投标文件的密封情况确认。投标人或者其推选的代表对其他投标人的投标文件密封情况有异议的，应当当场反映开标主持人或者现场监督人员，要求开标现场记录人员予以记录，并在评标时予以认定处理，但不得干扰、阻挠开标工作的正常进行。</w:t>
      </w:r>
    </w:p>
    <w:p w14:paraId="2B5156F0">
      <w:pPr>
        <w:pStyle w:val="34"/>
        <w:spacing w:before="46" w:after="46"/>
        <w:ind w:firstLine="480"/>
        <w:rPr>
          <w:rFonts w:hint="eastAsia" w:ascii="仿宋" w:hAnsi="仿宋" w:eastAsia="仿宋" w:cs="仿宋"/>
          <w:sz w:val="24"/>
          <w:highlight w:val="none"/>
        </w:rPr>
      </w:pPr>
      <w:r>
        <w:rPr>
          <w:rFonts w:hint="eastAsia" w:ascii="仿宋" w:hAnsi="仿宋" w:eastAsia="仿宋" w:cs="仿宋"/>
          <w:sz w:val="24"/>
          <w:highlight w:val="none"/>
        </w:rPr>
        <w:t>2.2.4开标时，“开标一览表”中的大写金额与小写金额不一致的，以大写金额为准；总价金额与按单价计算的汇总金额不一致的，以单价计算的汇总金额为准；单价金额有明显小数点错误的，以总价为准，并修改单价。出现上述情形，单价汇总金额比总价金额高，且超过采购预算或者本项目最高限价的，投标文件应作为无效投标处理；单价汇总金额比总价金额高，但未超过采购预算或者本项目最高限价的，应以单价汇总金额作为价格评分依据。</w:t>
      </w:r>
    </w:p>
    <w:p w14:paraId="63A482D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2.2.5 投标文件中相关内容与“开标一览表”不一致的，以“开标一览表”为准。对不同文字文本投标文件的解释发生异议的，以中文文本为准。</w:t>
      </w:r>
    </w:p>
    <w:p w14:paraId="0328C52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2.2.6 所有投标唱标完毕，如投标人代表对宣读的“开标一览表”上的内容有异议的，应在获得开标会主持人同意后当场提出。如确实属于唱标人员宣读错了的，当场予以更正。</w:t>
      </w:r>
    </w:p>
    <w:p w14:paraId="3DEBF09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2.2.7 投标人未参加开标的，视同认可开标结果。</w:t>
      </w:r>
    </w:p>
    <w:p w14:paraId="181390D2">
      <w:pPr>
        <w:spacing w:line="360" w:lineRule="auto"/>
        <w:ind w:firstLine="482" w:firstLineChars="200"/>
        <w:rPr>
          <w:rFonts w:hint="eastAsia" w:ascii="仿宋" w:hAnsi="仿宋" w:eastAsia="仿宋" w:cs="仿宋"/>
          <w:b/>
          <w:sz w:val="28"/>
          <w:szCs w:val="28"/>
          <w:highlight w:val="none"/>
        </w:rPr>
      </w:pPr>
      <w:bookmarkStart w:id="148" w:name="_Toc217446058"/>
      <w:bookmarkStart w:id="149" w:name="_Toc308164807"/>
      <w:r>
        <w:rPr>
          <w:rFonts w:hint="eastAsia" w:ascii="仿宋" w:hAnsi="仿宋" w:eastAsia="仿宋" w:cs="仿宋"/>
          <w:b/>
          <w:sz w:val="24"/>
          <w:highlight w:val="none"/>
        </w:rPr>
        <w:t>2.3开标程序</w:t>
      </w:r>
      <w:bookmarkEnd w:id="148"/>
      <w:bookmarkEnd w:id="149"/>
    </w:p>
    <w:p w14:paraId="0C77111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开标会主持人按照招标文件规定的开标时间宣布开标，按照规定要求主持开标会。开标将按以下程序进行：</w:t>
      </w:r>
    </w:p>
    <w:p w14:paraId="506B15B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2.3.1 宣布开标会开始。当众宣布参加开标会主持人、唱标人、会议记录人等工作人员，根据“投标人签到表”宣布参加投标的投标人名单。</w:t>
      </w:r>
    </w:p>
    <w:p w14:paraId="5A4E0BE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2.3.2 根据投标人或者其推选的代表对投标文件密封的检查结果，当众宣布投标文件的密封情况。</w:t>
      </w:r>
    </w:p>
    <w:p w14:paraId="60DEEDB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2.3.3 开标唱标。主持人宣布开标后，由现场工作人员按任意顺序对投标人的“开标一览表”当众进行拆封，由唱标人员宣读投标人名称、投标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需现场对开标记录进行签字确认，投标人对唱标内容有异议的，可以当场提出，并要求会议记录人在开标记录中予以记录，或者另行提供书面异议资料，不签字又不提出异议的，视同认可唱标内容和结果，且不得干扰、阻挠开（唱）标、评标工作。</w:t>
      </w:r>
    </w:p>
    <w:p w14:paraId="410F2E24">
      <w:pPr>
        <w:spacing w:line="360" w:lineRule="auto"/>
        <w:ind w:firstLine="470" w:firstLineChars="196"/>
        <w:rPr>
          <w:rFonts w:hint="eastAsia" w:ascii="仿宋" w:hAnsi="仿宋" w:eastAsia="仿宋" w:cs="仿宋"/>
          <w:sz w:val="24"/>
          <w:highlight w:val="none"/>
        </w:rPr>
      </w:pPr>
      <w:r>
        <w:rPr>
          <w:rFonts w:hint="eastAsia" w:ascii="仿宋" w:hAnsi="仿宋" w:eastAsia="仿宋" w:cs="仿宋"/>
          <w:sz w:val="24"/>
          <w:highlight w:val="none"/>
        </w:rPr>
        <w:t>2.3.4 宣布开标会结束。主持人宣布开标会结束。所有投标人代表应立即退场（招标文件要求有演示、介绍等的除外）。同时所有投标人应保持通讯设备的畅通，以方便在评标过程中评标委员会要求投标人对投标文件的必要澄清。评标结果投标人在中国采购与招标网上查询。</w:t>
      </w:r>
    </w:p>
    <w:p w14:paraId="1F74B525">
      <w:pPr>
        <w:spacing w:line="360" w:lineRule="auto"/>
        <w:ind w:firstLine="472" w:firstLineChars="196"/>
        <w:rPr>
          <w:rFonts w:hint="eastAsia" w:ascii="仿宋" w:hAnsi="仿宋" w:eastAsia="仿宋" w:cs="仿宋"/>
          <w:b/>
          <w:sz w:val="24"/>
          <w:szCs w:val="24"/>
          <w:highlight w:val="none"/>
        </w:rPr>
      </w:pPr>
      <w:r>
        <w:rPr>
          <w:rFonts w:hint="eastAsia" w:ascii="仿宋" w:hAnsi="仿宋" w:eastAsia="仿宋" w:cs="仿宋"/>
          <w:b/>
          <w:sz w:val="24"/>
          <w:szCs w:val="24"/>
          <w:highlight w:val="none"/>
        </w:rPr>
        <w:t>2.4资格性审查。</w:t>
      </w:r>
    </w:p>
    <w:p w14:paraId="46A46B85">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2.4.1本项目由评标小组进行资格性审查。</w:t>
      </w:r>
    </w:p>
    <w:p w14:paraId="68CFD948">
      <w:pPr>
        <w:spacing w:line="360" w:lineRule="auto"/>
        <w:ind w:firstLine="470" w:firstLineChars="196"/>
        <w:rPr>
          <w:rFonts w:hint="eastAsia" w:ascii="仿宋" w:hAnsi="仿宋" w:eastAsia="仿宋" w:cs="仿宋"/>
          <w:bCs/>
          <w:sz w:val="24"/>
          <w:szCs w:val="24"/>
          <w:highlight w:val="none"/>
        </w:rPr>
      </w:pPr>
      <w:r>
        <w:rPr>
          <w:rFonts w:hint="eastAsia" w:ascii="仿宋" w:hAnsi="仿宋" w:eastAsia="仿宋" w:cs="仿宋"/>
          <w:bCs/>
          <w:sz w:val="24"/>
          <w:szCs w:val="24"/>
          <w:highlight w:val="none"/>
        </w:rPr>
        <w:t>2.4.2评标小组应依据招标文件的规定，对投标文件是否按照规定要求提供资格性证明材料、是否属于禁止参加采购活动的投标人、是否按照规定缴纳投标保证金等进行审查，以确定投标人是否具备投标资格。</w:t>
      </w:r>
    </w:p>
    <w:p w14:paraId="2AA68FA1">
      <w:pPr>
        <w:spacing w:line="360" w:lineRule="auto"/>
        <w:ind w:firstLine="472" w:firstLineChars="196"/>
        <w:rPr>
          <w:rFonts w:hint="eastAsia" w:ascii="仿宋" w:hAnsi="仿宋" w:eastAsia="仿宋" w:cs="仿宋"/>
          <w:b/>
          <w:sz w:val="24"/>
          <w:szCs w:val="24"/>
          <w:highlight w:val="none"/>
        </w:rPr>
      </w:pPr>
      <w:r>
        <w:rPr>
          <w:rFonts w:hint="eastAsia" w:ascii="仿宋" w:hAnsi="仿宋" w:eastAsia="仿宋" w:cs="仿宋"/>
          <w:b/>
          <w:bCs/>
          <w:sz w:val="24"/>
          <w:highlight w:val="none"/>
        </w:rPr>
        <w:t>合格投标人不足3家的</w:t>
      </w:r>
      <w:r>
        <w:rPr>
          <w:rFonts w:hint="eastAsia" w:ascii="仿宋" w:hAnsi="仿宋" w:eastAsia="仿宋" w:cs="仿宋"/>
          <w:b/>
          <w:bCs/>
          <w:sz w:val="24"/>
          <w:szCs w:val="24"/>
          <w:highlight w:val="none"/>
        </w:rPr>
        <w:t>，终</w:t>
      </w:r>
      <w:r>
        <w:rPr>
          <w:rFonts w:hint="eastAsia" w:ascii="仿宋" w:hAnsi="仿宋" w:eastAsia="仿宋" w:cs="仿宋"/>
          <w:b/>
          <w:sz w:val="24"/>
          <w:szCs w:val="24"/>
          <w:highlight w:val="none"/>
        </w:rPr>
        <w:t>止本次采购活动，并发布废标公告。</w:t>
      </w:r>
    </w:p>
    <w:p w14:paraId="5EDB00EA">
      <w:pPr>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2.5 符合性检查。</w:t>
      </w:r>
    </w:p>
    <w:p w14:paraId="5658760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54513DA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2.5.2投标文件（包括单独递交的开标一览表）有下列情形的，本项目不作为实质性要求进行规定，即不作为符合性审查事项，不得作为无效投标处理：</w:t>
      </w:r>
    </w:p>
    <w:p w14:paraId="4DABB3A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（一）正副本数量齐全、密封完好，只是未按照招标文件要求进行分装或者统装的；</w:t>
      </w:r>
    </w:p>
    <w:p w14:paraId="66FE617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（二）存在个别地方（不超过2个）没有法定代表人签字，但有法定代表人的私人印章或者有效授权代理人签字的；</w:t>
      </w:r>
    </w:p>
    <w:p w14:paraId="6319163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（三）除招标文件明确要求加盖单位(法人)公章的以外，其他地方以相关专用章加盖的；</w:t>
      </w:r>
    </w:p>
    <w:p w14:paraId="5331D14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（四）以骑缝章的形式代替投标文件内容逐页盖章的（但是骑缝章模糊不清，印章名称无法辨认的除外）；</w:t>
      </w:r>
    </w:p>
    <w:p w14:paraId="570D1EE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（五）其他不影响采购项目实质性要求的情形。</w:t>
      </w:r>
    </w:p>
    <w:p w14:paraId="0F352FE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2.5.3除法律制度规定的情形外，本项目投标人或者其投标文件有下列情形之一的，作为无效投标处理：</w:t>
      </w:r>
    </w:p>
    <w:p w14:paraId="725D12B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（一）投标文件正副本数量不足的；</w:t>
      </w:r>
    </w:p>
    <w:p w14:paraId="27FCF49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（二）投标文件组成明显不符合招标文件的规定要求，影响评标委员会评判的；</w:t>
      </w:r>
    </w:p>
    <w:p w14:paraId="341D119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（三）投标文件的格式、语言、计量单位、报价货币、知识产权、投标有效期等不符合招标文件的规定，影响评标委员会评判的；</w:t>
      </w:r>
    </w:p>
    <w:p w14:paraId="6D6FEF9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（四）投标报价不符合招标文件规定的采购预算或限价或其他报价规定的；</w:t>
      </w:r>
    </w:p>
    <w:p w14:paraId="72B1F5A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技术应答内容完全或者绝大部分复制招标文件规定要求，且无相关证明材料的（主要适用于专用设备和电子信息化建设采购项目，采购工程、采购协议供货或定点投标人采购、采购的货物属于规格标准统一或者订制产品的除外）；</w:t>
      </w:r>
    </w:p>
    <w:p w14:paraId="44AB6C9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（六）商务、技术、服务应答内容没有完全响应招标文件的实质性要求的；</w:t>
      </w:r>
    </w:p>
    <w:p w14:paraId="59298AF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（七）未载明或者载明的投标项目履约时间、方式、数量及其他采购合同实质性内容与招标文件要求不一致，且采购单位无法接受的。</w:t>
      </w:r>
    </w:p>
    <w:p w14:paraId="580B6B04">
      <w:pPr>
        <w:spacing w:line="360" w:lineRule="auto"/>
        <w:ind w:firstLine="482" w:firstLineChars="200"/>
        <w:rPr>
          <w:rFonts w:hint="eastAsia" w:ascii="仿宋" w:hAnsi="仿宋" w:eastAsia="仿宋" w:cs="仿宋"/>
          <w:bCs/>
          <w:sz w:val="24"/>
          <w:szCs w:val="24"/>
          <w:highlight w:val="none"/>
        </w:rPr>
      </w:pPr>
      <w:r>
        <w:rPr>
          <w:rFonts w:hint="eastAsia" w:ascii="仿宋" w:hAnsi="仿宋" w:eastAsia="仿宋" w:cs="仿宋"/>
          <w:b/>
          <w:sz w:val="24"/>
          <w:szCs w:val="24"/>
          <w:highlight w:val="none"/>
        </w:rPr>
        <w:t>2.6比较与评价。</w:t>
      </w:r>
      <w:r>
        <w:rPr>
          <w:rFonts w:hint="eastAsia" w:ascii="仿宋" w:hAnsi="仿宋" w:eastAsia="仿宋" w:cs="仿宋"/>
          <w:bCs/>
          <w:sz w:val="24"/>
          <w:szCs w:val="24"/>
          <w:highlight w:val="none"/>
        </w:rPr>
        <w:t>由评标小组采用综合评分法对提交最后报价的投标人的投标文件和最后报价进行综合评分，具体要求详见本章综合评分部分。</w:t>
      </w:r>
    </w:p>
    <w:p w14:paraId="1898702C">
      <w:pPr>
        <w:spacing w:line="360" w:lineRule="auto"/>
        <w:ind w:firstLine="482" w:firstLineChars="200"/>
        <w:rPr>
          <w:rFonts w:hint="eastAsia" w:ascii="仿宋" w:hAnsi="仿宋" w:eastAsia="仿宋" w:cs="仿宋"/>
          <w:bCs/>
          <w:sz w:val="24"/>
          <w:szCs w:val="24"/>
          <w:highlight w:val="none"/>
        </w:rPr>
      </w:pPr>
      <w:r>
        <w:rPr>
          <w:rFonts w:hint="eastAsia" w:ascii="仿宋" w:hAnsi="仿宋" w:eastAsia="仿宋" w:cs="仿宋"/>
          <w:b/>
          <w:sz w:val="24"/>
          <w:szCs w:val="24"/>
          <w:highlight w:val="none"/>
        </w:rPr>
        <w:t>2.7推荐中标候选人。</w:t>
      </w:r>
      <w:r>
        <w:rPr>
          <w:rFonts w:hint="eastAsia" w:ascii="仿宋" w:hAnsi="仿宋" w:eastAsia="仿宋" w:cs="仿宋"/>
          <w:bCs/>
          <w:sz w:val="24"/>
          <w:szCs w:val="24"/>
          <w:highlight w:val="none"/>
        </w:rPr>
        <w:t>评标小组应当根据综合评分情况，按照评标得分由高到低顺序推荐3家以上中标候选人，并编写评标报告。评标得分相同的，按照最后报价由低到高的顺序推荐。评标得分且最后报价相同的，按照技术指标优劣顺序推荐。评标得分且最后报价且技术指标分项得分均相同的，中标候选人并列（若中标第一候选人并列,由采购人自主采取公平择优的方式选择中标人）。</w:t>
      </w:r>
    </w:p>
    <w:p w14:paraId="48B33F0C">
      <w:pPr>
        <w:spacing w:line="360" w:lineRule="auto"/>
        <w:ind w:firstLine="482" w:firstLineChars="200"/>
        <w:rPr>
          <w:rFonts w:hint="eastAsia" w:ascii="仿宋" w:hAnsi="仿宋" w:eastAsia="仿宋" w:cs="仿宋"/>
          <w:sz w:val="32"/>
          <w:highlight w:val="none"/>
        </w:rPr>
      </w:pPr>
      <w:r>
        <w:rPr>
          <w:rFonts w:hint="eastAsia" w:ascii="仿宋" w:hAnsi="仿宋" w:eastAsia="仿宋" w:cs="仿宋"/>
          <w:b/>
          <w:sz w:val="24"/>
          <w:szCs w:val="24"/>
          <w:highlight w:val="none"/>
        </w:rPr>
        <w:t>2.8评标小组复核。</w:t>
      </w:r>
      <w:r>
        <w:rPr>
          <w:rFonts w:hint="eastAsia" w:ascii="仿宋" w:hAnsi="仿宋" w:eastAsia="仿宋" w:cs="仿宋"/>
          <w:bCs/>
          <w:sz w:val="24"/>
          <w:szCs w:val="24"/>
          <w:highlight w:val="none"/>
        </w:rPr>
        <w:t>评标小组评分汇总结束后，评标小组应当进行评标复核，对拟推荐为中标候选人的、报价最低的、投标人资格审查未通过的、投标人投标文件作无效处理的重点复核。</w:t>
      </w:r>
    </w:p>
    <w:p w14:paraId="543CB146">
      <w:pP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2.9采购组织单位现场复核评标结果。</w:t>
      </w:r>
    </w:p>
    <w:p w14:paraId="463F36DC">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2.9.1评标结果汇总完成后，评标小组拟出具评标报告前，采购代理机构应当组织2名以上的本单位工作人员，在采购现场监督人员的监督之下，依据招标文件对评标结果进行复核，出具复核报告，存在下列情形之一的，采购人、采购代理机构应当根据情况书面建议评标小组现场修改评标结果：</w:t>
      </w:r>
    </w:p>
    <w:p w14:paraId="644DA688">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（1）资格性审查认定错误的；</w:t>
      </w:r>
    </w:p>
    <w:p w14:paraId="237546E8">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（2）分值汇总计算错误的；</w:t>
      </w:r>
    </w:p>
    <w:p w14:paraId="71D20B65">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（3）分项评分超出评分标准范围的；</w:t>
      </w:r>
    </w:p>
    <w:p w14:paraId="79ED4394">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（4）客观评分不一致的。</w:t>
      </w:r>
    </w:p>
    <w:p w14:paraId="6D641776">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存在本条上述情形的，由评标小组自主决定是否采纳采购代理机构的书面建议，并承担独立评标责任。评标小组采纳采购代理机构书面建议的，应当按照规定现场修改评标结果或者重新评标，并在评标报告中详细记载有关事宜；不采纳采购代理机构书面建议的，应当书面说明理由。采购代理机构书面建议未被评标小组采纳的，应当接照规定程序要求继续组织实施采购活动，不得擅自中止采购活动。采购代理机构认为评标小组评标结果不合法的，应当书面报告采购项目监督部门。</w:t>
      </w:r>
    </w:p>
    <w:p w14:paraId="6DA3E670">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采购代理机构复核过程中，评标小组成员不得离开评标现场。</w:t>
      </w:r>
    </w:p>
    <w:p w14:paraId="556E75B7">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2.9.2有下列情形之一的，不得现场修改评标结果：</w:t>
      </w:r>
    </w:p>
    <w:p w14:paraId="722A2B75">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（1）评标小组已经出具评标报告并且离开评标现场的；</w:t>
      </w:r>
    </w:p>
    <w:p w14:paraId="5D366C17">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（2）采购代理机构现场复核时，复核工作人员数量不足的；</w:t>
      </w:r>
    </w:p>
    <w:p w14:paraId="2DD9B2AE">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（3）采购代理机构现场复核时，没有采购监督人员现场监督的；</w:t>
      </w:r>
    </w:p>
    <w:p w14:paraId="0471DC32">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（4）采购代理机构现场复核内容超出规定范围的；</w:t>
      </w:r>
    </w:p>
    <w:p w14:paraId="43A22812">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（5）采购代理机构未提供书面建议的。</w:t>
      </w:r>
    </w:p>
    <w:p w14:paraId="483189AE">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szCs w:val="24"/>
          <w:highlight w:val="none"/>
        </w:rPr>
        <w:t>2.10编写评标报告。</w:t>
      </w:r>
      <w:r>
        <w:rPr>
          <w:rFonts w:hint="eastAsia" w:ascii="仿宋" w:hAnsi="仿宋" w:eastAsia="仿宋" w:cs="仿宋"/>
          <w:sz w:val="24"/>
          <w:highlight w:val="none"/>
        </w:rPr>
        <w:t>评标委员会推荐中标候选供应商后，应当向采购单位出具评标报告。评标报告应当包括下列内容：</w:t>
      </w:r>
    </w:p>
    <w:p w14:paraId="0C9C701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（一）招标公告刊登的媒体名称、开标日期和地点；</w:t>
      </w:r>
    </w:p>
    <w:p w14:paraId="3A1A8EB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（二）获取招标文件的投标人名单和评标委员会成员名单；</w:t>
      </w:r>
    </w:p>
    <w:p w14:paraId="58F0CCF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（三）评标方法和标准；</w:t>
      </w:r>
    </w:p>
    <w:p w14:paraId="2309D1F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（四）开标记录和评标情况及说明，包括无效投标人名单及原因；</w:t>
      </w:r>
    </w:p>
    <w:p w14:paraId="649D5C1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（五）评标结果和中标候选供应商排序表；</w:t>
      </w:r>
    </w:p>
    <w:p w14:paraId="5B2E315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（六）评标委员会授标建议。</w:t>
      </w:r>
    </w:p>
    <w:p w14:paraId="7E4F70C9">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sz w:val="24"/>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46280589">
      <w:pPr>
        <w:spacing w:line="360" w:lineRule="auto"/>
        <w:ind w:firstLine="482" w:firstLineChars="200"/>
        <w:rPr>
          <w:rFonts w:hint="eastAsia" w:ascii="仿宋" w:hAnsi="仿宋" w:eastAsia="仿宋" w:cs="仿宋"/>
          <w:bCs/>
          <w:sz w:val="24"/>
          <w:szCs w:val="24"/>
          <w:highlight w:val="none"/>
        </w:rPr>
      </w:pPr>
      <w:r>
        <w:rPr>
          <w:rFonts w:hint="eastAsia" w:ascii="仿宋" w:hAnsi="仿宋" w:eastAsia="仿宋" w:cs="仿宋"/>
          <w:b/>
          <w:sz w:val="24"/>
          <w:szCs w:val="24"/>
          <w:highlight w:val="none"/>
        </w:rPr>
        <w:t>2.11评标异议处理规则。</w:t>
      </w:r>
      <w:r>
        <w:rPr>
          <w:rFonts w:hint="eastAsia" w:ascii="仿宋" w:hAnsi="仿宋" w:eastAsia="仿宋" w:cs="仿宋"/>
          <w:sz w:val="24"/>
          <w:highlight w:val="none"/>
        </w:rPr>
        <w:t>评标委员会在评审过程中，对于资格性审查、符合性审查、对投标人投标文件做无效投标处理及其他需要共同认定的事项存在争议的，应当以少数服从多数的原则做出结论，但不得违背招标文件规定。有不同意见的评标委员会成员认为认定过程和结果不符合招标文件规定的，应当及时向采购单位书面反映。采购单位收到书面反映后，应当书面报告采购项目监督部门依法处理。</w:t>
      </w:r>
    </w:p>
    <w:p w14:paraId="22CBCDCC">
      <w:pPr>
        <w:spacing w:line="360" w:lineRule="auto"/>
        <w:ind w:firstLine="482" w:firstLineChars="200"/>
        <w:rPr>
          <w:rFonts w:hint="eastAsia" w:ascii="仿宋" w:hAnsi="仿宋" w:eastAsia="仿宋" w:cs="仿宋"/>
          <w:bCs/>
          <w:sz w:val="24"/>
          <w:szCs w:val="24"/>
          <w:highlight w:val="none"/>
        </w:rPr>
      </w:pPr>
      <w:r>
        <w:rPr>
          <w:rFonts w:hint="eastAsia" w:ascii="仿宋" w:hAnsi="仿宋" w:eastAsia="仿宋" w:cs="仿宋"/>
          <w:b/>
          <w:sz w:val="24"/>
          <w:szCs w:val="24"/>
          <w:highlight w:val="none"/>
        </w:rPr>
        <w:t>2.12投标人澄清、说明。</w:t>
      </w:r>
    </w:p>
    <w:p w14:paraId="6A275501">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2.12.1评标小组在对投标文件的有效性、完整性和投标程度进行审查时，可以要求投标人对投标文件中含义不明确、同类问题表述不一致或者有明显文字和计算错误的内容等作出必要的澄清、说明或者更正（含商务、技术等）。投标人的澄清、说明或者更正不得超出投标文件的范围或者改变投标文件的实质性内容。</w:t>
      </w:r>
    </w:p>
    <w:p w14:paraId="71E92B6E">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2.12.2评标小组要求投标人澄清、说明或者更正投标文件应当以书面形式作出。投标人的澄清、说明或者更正应当由法定代表人/主要负责人/本人或其授权代表签字</w:t>
      </w:r>
      <w:r>
        <w:rPr>
          <w:rFonts w:hint="eastAsia" w:ascii="仿宋" w:hAnsi="仿宋" w:eastAsia="仿宋" w:cs="仿宋"/>
          <w:sz w:val="24"/>
          <w:szCs w:val="24"/>
          <w:highlight w:val="none"/>
        </w:rPr>
        <w:t>（注：投标人为法人的，应当由其法定代表人或者授权代表签字确认；投标人为其他组织的，应当由其主要负责人或者授权代表签字确认</w:t>
      </w:r>
      <w:r>
        <w:rPr>
          <w:rFonts w:hint="eastAsia" w:ascii="仿宋" w:hAnsi="仿宋" w:eastAsia="仿宋" w:cs="仿宋"/>
          <w:bCs/>
          <w:sz w:val="24"/>
          <w:szCs w:val="24"/>
          <w:highlight w:val="none"/>
        </w:rPr>
        <w:t>。</w:t>
      </w:r>
      <w:r>
        <w:rPr>
          <w:rFonts w:hint="eastAsia" w:ascii="仿宋" w:hAnsi="仿宋" w:eastAsia="仿宋" w:cs="仿宋"/>
          <w:sz w:val="24"/>
          <w:szCs w:val="24"/>
          <w:highlight w:val="none"/>
        </w:rPr>
        <w:t>澄清、说明或者更正不影响投标文件的效力，有效的澄清、说明或者更正材料，是投标文件的组成部分。</w:t>
      </w:r>
    </w:p>
    <w:p w14:paraId="7240B498">
      <w:pPr>
        <w:spacing w:line="360" w:lineRule="auto"/>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2.13废标。</w:t>
      </w:r>
    </w:p>
    <w:p w14:paraId="406A45B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本次采购活动中，出现下列情形之一的，予以废标：</w:t>
      </w:r>
    </w:p>
    <w:p w14:paraId="14441D1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（1）符合专业条件的投标人或者对招标文件作实质响应的投标人不足三家的；</w:t>
      </w:r>
    </w:p>
    <w:p w14:paraId="0D06F53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（2）出现影响采购公正的违法、违规行为的；</w:t>
      </w:r>
    </w:p>
    <w:p w14:paraId="27FED93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（3）投标人的报价均超过了采购预算，采购人不能支付的；</w:t>
      </w:r>
    </w:p>
    <w:p w14:paraId="44B1FB3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（4）因重大变故，采购任务取消的。</w:t>
      </w:r>
    </w:p>
    <w:p w14:paraId="4EB7DEF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废标后，采购代理机构应在中国采购与招标网上公告，并公告废标的情形。投标人需要知晓导致废标情形的具体原因和理由的，可以通过书面形式询问采购单位。</w:t>
      </w:r>
    </w:p>
    <w:p w14:paraId="12478DE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5.2对于评标过程中废标的采购项目，评标委员会应当对招标文件是否存在倾向性和歧视性、是否存在不合理条款进行论证，并出具书面论证意见。</w:t>
      </w:r>
    </w:p>
    <w:p w14:paraId="677822EF">
      <w:pPr>
        <w:spacing w:line="360" w:lineRule="auto"/>
        <w:jc w:val="center"/>
        <w:outlineLvl w:val="1"/>
        <w:rPr>
          <w:rFonts w:hint="eastAsia" w:ascii="仿宋" w:hAnsi="仿宋" w:eastAsia="仿宋" w:cs="仿宋"/>
          <w:b/>
          <w:sz w:val="28"/>
          <w:szCs w:val="28"/>
          <w:highlight w:val="none"/>
        </w:rPr>
      </w:pPr>
      <w:bookmarkStart w:id="150" w:name="_Toc7489"/>
      <w:r>
        <w:rPr>
          <w:rFonts w:hint="eastAsia" w:ascii="仿宋" w:hAnsi="仿宋" w:eastAsia="仿宋" w:cs="仿宋"/>
          <w:b/>
          <w:sz w:val="28"/>
          <w:szCs w:val="28"/>
          <w:highlight w:val="none"/>
        </w:rPr>
        <w:t>四、综合评分</w:t>
      </w:r>
      <w:bookmarkEnd w:id="150"/>
    </w:p>
    <w:p w14:paraId="1A45429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4.1本次综合评分的因素是：详见本章节综合评分明细表。</w:t>
      </w:r>
    </w:p>
    <w:p w14:paraId="52F1850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 除价格因素外，评标小组成员应当根据自身专业情况独立对每个有效投标人的投标文件进行评价、打分。技术、与技术有关的服务及其他技术类评分因素由抽取的技术方面评标小组成员独立评分。财务状况及其他经济类评分因素由抽取的经济方面评标小组成员独立评分。采购合同主要条款及其他政策合同类的评分因素由抽取的法律方面评标小组成员独立评分。采购人代表原则上对技术、与技术有关的服务及其他技术类评分因素独立评分。价格及其他不能明确区分的评分因素由评标小组成员共同评分。</w:t>
      </w:r>
    </w:p>
    <w:p w14:paraId="23CEF5B5">
      <w:pPr>
        <w:pStyle w:val="9"/>
        <w:tabs>
          <w:tab w:val="left" w:pos="600"/>
        </w:tabs>
        <w:spacing w:line="360" w:lineRule="auto"/>
        <w:ind w:firstLine="482" w:firstLineChars="200"/>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4.3综合评分明细表</w:t>
      </w:r>
    </w:p>
    <w:p w14:paraId="255F9D18">
      <w:pPr>
        <w:pStyle w:val="9"/>
        <w:tabs>
          <w:tab w:val="left" w:pos="600"/>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4.3.1综合评分明细表的制定以科学合理、降低评委会自由裁量权为原则。</w:t>
      </w:r>
    </w:p>
    <w:p w14:paraId="4A40732B">
      <w:pPr>
        <w:spacing w:line="360" w:lineRule="auto"/>
        <w:ind w:firstLine="472" w:firstLineChars="196"/>
        <w:rPr>
          <w:rFonts w:hint="eastAsia" w:ascii="仿宋" w:hAnsi="仿宋" w:eastAsia="仿宋" w:cs="仿宋"/>
          <w:b/>
          <w:sz w:val="24"/>
          <w:szCs w:val="24"/>
          <w:highlight w:val="none"/>
        </w:rPr>
      </w:pPr>
      <w:r>
        <w:rPr>
          <w:rFonts w:hint="eastAsia" w:ascii="仿宋" w:hAnsi="仿宋" w:eastAsia="仿宋" w:cs="仿宋"/>
          <w:b/>
          <w:sz w:val="24"/>
          <w:szCs w:val="24"/>
          <w:highlight w:val="none"/>
        </w:rPr>
        <w:t>4.3.2综合评分明细表</w:t>
      </w:r>
    </w:p>
    <w:p w14:paraId="05BC7B85">
      <w:pPr>
        <w:spacing w:line="360" w:lineRule="auto"/>
        <w:ind w:firstLine="472" w:firstLineChars="196"/>
        <w:rPr>
          <w:rFonts w:hint="eastAsia" w:ascii="仿宋" w:hAnsi="仿宋" w:eastAsia="仿宋" w:cs="仿宋"/>
          <w:b/>
          <w:sz w:val="24"/>
          <w:szCs w:val="24"/>
          <w:highlight w:val="none"/>
        </w:rPr>
      </w:pPr>
    </w:p>
    <w:p w14:paraId="0495F56A">
      <w:pPr>
        <w:spacing w:line="360" w:lineRule="auto"/>
        <w:ind w:firstLine="472" w:firstLineChars="196"/>
        <w:rPr>
          <w:rFonts w:hint="eastAsia" w:ascii="仿宋" w:hAnsi="仿宋" w:eastAsia="仿宋" w:cs="仿宋"/>
          <w:b/>
          <w:sz w:val="24"/>
          <w:szCs w:val="24"/>
          <w:highlight w:val="none"/>
        </w:rPr>
      </w:pPr>
    </w:p>
    <w:tbl>
      <w:tblPr>
        <w:tblStyle w:val="22"/>
        <w:tblW w:w="5213" w:type="pct"/>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1869"/>
        <w:gridCol w:w="941"/>
        <w:gridCol w:w="4919"/>
        <w:gridCol w:w="1816"/>
      </w:tblGrid>
      <w:tr w14:paraId="1FD8C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328" w:type="pct"/>
            <w:noWrap w:val="0"/>
            <w:vAlign w:val="center"/>
          </w:tcPr>
          <w:p w14:paraId="57826679">
            <w:pPr>
              <w:keepNext w:val="0"/>
              <w:keepLines w:val="0"/>
              <w:pageBreakBefore w:val="0"/>
              <w:widowControl w:val="0"/>
              <w:tabs>
                <w:tab w:val="left" w:pos="7665"/>
              </w:tabs>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b w:val="0"/>
                <w:bCs w:val="0"/>
                <w:color w:val="auto"/>
                <w:spacing w:val="-10"/>
                <w:sz w:val="22"/>
                <w:szCs w:val="22"/>
                <w:highlight w:val="none"/>
                <w:lang w:bidi="zh-CN"/>
              </w:rPr>
              <w:t>序号</w:t>
            </w:r>
          </w:p>
        </w:tc>
        <w:tc>
          <w:tcPr>
            <w:tcW w:w="914" w:type="pct"/>
            <w:noWrap w:val="0"/>
            <w:vAlign w:val="center"/>
          </w:tcPr>
          <w:p w14:paraId="75D21B6D">
            <w:pPr>
              <w:keepNext w:val="0"/>
              <w:keepLines w:val="0"/>
              <w:pageBreakBefore w:val="0"/>
              <w:widowControl w:val="0"/>
              <w:tabs>
                <w:tab w:val="left" w:pos="7665"/>
              </w:tabs>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b w:val="0"/>
                <w:bCs w:val="0"/>
                <w:color w:val="auto"/>
                <w:spacing w:val="-10"/>
                <w:sz w:val="22"/>
                <w:szCs w:val="22"/>
                <w:highlight w:val="none"/>
                <w:lang w:bidi="zh-CN"/>
              </w:rPr>
              <w:t>评分因素及权重</w:t>
            </w:r>
          </w:p>
        </w:tc>
        <w:tc>
          <w:tcPr>
            <w:tcW w:w="460" w:type="pct"/>
            <w:noWrap w:val="0"/>
            <w:vAlign w:val="center"/>
          </w:tcPr>
          <w:p w14:paraId="2A131CB0">
            <w:pPr>
              <w:keepNext w:val="0"/>
              <w:keepLines w:val="0"/>
              <w:pageBreakBefore w:val="0"/>
              <w:widowControl w:val="0"/>
              <w:tabs>
                <w:tab w:val="left" w:pos="7665"/>
              </w:tabs>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b w:val="0"/>
                <w:bCs w:val="0"/>
                <w:color w:val="auto"/>
                <w:spacing w:val="-10"/>
                <w:sz w:val="22"/>
                <w:szCs w:val="22"/>
                <w:highlight w:val="none"/>
                <w:lang w:bidi="zh-CN"/>
              </w:rPr>
              <w:t>分值</w:t>
            </w:r>
          </w:p>
        </w:tc>
        <w:tc>
          <w:tcPr>
            <w:tcW w:w="2406" w:type="pct"/>
            <w:noWrap w:val="0"/>
            <w:vAlign w:val="center"/>
          </w:tcPr>
          <w:p w14:paraId="01F27747">
            <w:pPr>
              <w:keepNext w:val="0"/>
              <w:keepLines w:val="0"/>
              <w:pageBreakBefore w:val="0"/>
              <w:widowControl w:val="0"/>
              <w:tabs>
                <w:tab w:val="left" w:pos="7665"/>
              </w:tabs>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b w:val="0"/>
                <w:bCs w:val="0"/>
                <w:color w:val="auto"/>
                <w:spacing w:val="-10"/>
                <w:sz w:val="22"/>
                <w:szCs w:val="22"/>
                <w:highlight w:val="none"/>
                <w:lang w:bidi="zh-CN"/>
              </w:rPr>
              <w:t>评分标准</w:t>
            </w:r>
          </w:p>
        </w:tc>
        <w:tc>
          <w:tcPr>
            <w:tcW w:w="888" w:type="pct"/>
            <w:noWrap w:val="0"/>
            <w:vAlign w:val="center"/>
          </w:tcPr>
          <w:p w14:paraId="0A349008">
            <w:pPr>
              <w:keepNext w:val="0"/>
              <w:keepLines w:val="0"/>
              <w:pageBreakBefore w:val="0"/>
              <w:widowControl w:val="0"/>
              <w:tabs>
                <w:tab w:val="left" w:pos="7665"/>
              </w:tabs>
              <w:kinsoku/>
              <w:wordWrap/>
              <w:overflowPunct/>
              <w:topLinePunct w:val="0"/>
              <w:autoSpaceDE/>
              <w:autoSpaceDN/>
              <w:bidi w:val="0"/>
              <w:adjustRightInd/>
              <w:snapToGrid w:val="0"/>
              <w:spacing w:line="360" w:lineRule="auto"/>
              <w:jc w:val="center"/>
              <w:textAlignment w:val="auto"/>
              <w:outlineLvl w:val="9"/>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b w:val="0"/>
                <w:bCs w:val="0"/>
                <w:color w:val="auto"/>
                <w:spacing w:val="-10"/>
                <w:sz w:val="22"/>
                <w:szCs w:val="22"/>
                <w:highlight w:val="none"/>
                <w:lang w:bidi="zh-CN"/>
              </w:rPr>
              <w:t>评审依据</w:t>
            </w:r>
          </w:p>
        </w:tc>
      </w:tr>
      <w:tr w14:paraId="46101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328" w:type="pct"/>
            <w:noWrap w:val="0"/>
            <w:vAlign w:val="center"/>
          </w:tcPr>
          <w:p w14:paraId="2592A2BD">
            <w:pPr>
              <w:keepNext w:val="0"/>
              <w:keepLines w:val="0"/>
              <w:pageBreakBefore w:val="0"/>
              <w:widowControl w:val="0"/>
              <w:kinsoku/>
              <w:wordWrap/>
              <w:overflowPunct/>
              <w:topLinePunct w:val="0"/>
              <w:autoSpaceDE/>
              <w:autoSpaceDN/>
              <w:bidi w:val="0"/>
              <w:adjustRightInd/>
              <w:snapToGrid/>
              <w:spacing w:line="360" w:lineRule="auto"/>
              <w:ind w:firstLine="28" w:firstLineChars="0"/>
              <w:jc w:val="center"/>
              <w:textAlignment w:val="auto"/>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color w:val="auto"/>
                <w:sz w:val="22"/>
                <w:szCs w:val="22"/>
                <w:highlight w:val="none"/>
              </w:rPr>
              <w:t>1</w:t>
            </w:r>
          </w:p>
        </w:tc>
        <w:tc>
          <w:tcPr>
            <w:tcW w:w="1869" w:type="dxa"/>
            <w:noWrap w:val="0"/>
            <w:vAlign w:val="center"/>
          </w:tcPr>
          <w:p w14:paraId="427B1F91">
            <w:pPr>
              <w:keepNext w:val="0"/>
              <w:keepLines w:val="0"/>
              <w:widowControl/>
              <w:suppressLineNumbers w:val="0"/>
              <w:jc w:val="left"/>
              <w:textAlignment w:val="center"/>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i w:val="0"/>
                <w:color w:val="000000"/>
                <w:kern w:val="0"/>
                <w:sz w:val="24"/>
                <w:szCs w:val="24"/>
                <w:u w:val="none"/>
                <w:lang w:val="en-US" w:eastAsia="zh-CN" w:bidi="ar"/>
              </w:rPr>
              <w:t>报价40%</w:t>
            </w:r>
          </w:p>
        </w:tc>
        <w:tc>
          <w:tcPr>
            <w:tcW w:w="941" w:type="dxa"/>
            <w:noWrap w:val="0"/>
            <w:vAlign w:val="center"/>
          </w:tcPr>
          <w:p w14:paraId="43511BC9">
            <w:pPr>
              <w:keepNext w:val="0"/>
              <w:keepLines w:val="0"/>
              <w:widowControl/>
              <w:suppressLineNumbers w:val="0"/>
              <w:jc w:val="center"/>
              <w:textAlignment w:val="center"/>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i w:val="0"/>
                <w:color w:val="000000"/>
                <w:kern w:val="0"/>
                <w:sz w:val="24"/>
                <w:szCs w:val="24"/>
                <w:u w:val="none"/>
                <w:lang w:val="en-US" w:eastAsia="zh-CN" w:bidi="ar"/>
              </w:rPr>
              <w:t>40分</w:t>
            </w:r>
          </w:p>
        </w:tc>
        <w:tc>
          <w:tcPr>
            <w:tcW w:w="4919" w:type="dxa"/>
            <w:noWrap w:val="0"/>
            <w:vAlign w:val="center"/>
          </w:tcPr>
          <w:p w14:paraId="695E5F7F">
            <w:pPr>
              <w:keepNext w:val="0"/>
              <w:keepLines w:val="0"/>
              <w:widowControl/>
              <w:suppressLineNumbers w:val="0"/>
              <w:jc w:val="left"/>
              <w:textAlignment w:val="center"/>
              <w:rPr>
                <w:rFonts w:hint="eastAsia" w:ascii="仿宋" w:hAnsi="仿宋" w:eastAsia="仿宋" w:cs="仿宋"/>
                <w:b w:val="0"/>
                <w:bCs w:val="0"/>
                <w:color w:val="auto"/>
                <w:spacing w:val="-10"/>
                <w:sz w:val="22"/>
                <w:szCs w:val="22"/>
                <w:highlight w:val="none"/>
                <w:lang w:val="en-US" w:eastAsia="zh-CN" w:bidi="zh-CN"/>
              </w:rPr>
            </w:pPr>
            <w:r>
              <w:rPr>
                <w:rFonts w:hint="eastAsia" w:ascii="仿宋" w:hAnsi="仿宋" w:eastAsia="仿宋" w:cs="仿宋"/>
                <w:i w:val="0"/>
                <w:color w:val="000000"/>
                <w:kern w:val="0"/>
                <w:sz w:val="24"/>
                <w:szCs w:val="24"/>
                <w:u w:val="none"/>
                <w:lang w:val="en-US" w:eastAsia="zh-CN" w:bidi="ar"/>
              </w:rPr>
              <w:t>满足招标文件要求且价格最低的投标人投标报价为评标基准价，其价格分为满分。其他投标人的价格分统一按照下列公式计算：</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报价得分=（评标基准价÷投标报价）×40%×100。</w:t>
            </w:r>
          </w:p>
        </w:tc>
        <w:tc>
          <w:tcPr>
            <w:tcW w:w="888" w:type="pct"/>
            <w:noWrap w:val="0"/>
            <w:vAlign w:val="center"/>
          </w:tcPr>
          <w:p w14:paraId="44B78C1A">
            <w:pPr>
              <w:widowControl/>
              <w:wordWrap w:val="0"/>
              <w:spacing w:line="360" w:lineRule="auto"/>
              <w:ind w:right="30" w:rightChars="0"/>
              <w:jc w:val="center"/>
              <w:rPr>
                <w:rFonts w:hint="eastAsia" w:ascii="仿宋" w:hAnsi="仿宋" w:eastAsia="仿宋" w:cs="仿宋"/>
                <w:color w:val="FF0000"/>
                <w:kern w:val="2"/>
                <w:sz w:val="24"/>
                <w:szCs w:val="24"/>
                <w:lang w:val="en-US" w:eastAsia="zh-CN" w:bidi="ar-SA"/>
              </w:rPr>
            </w:pPr>
            <w:r>
              <w:rPr>
                <w:rFonts w:hint="eastAsia" w:ascii="仿宋" w:hAnsi="仿宋" w:eastAsia="仿宋" w:cs="仿宋"/>
                <w:color w:val="auto"/>
                <w:sz w:val="24"/>
                <w:szCs w:val="24"/>
                <w:highlight w:val="none"/>
                <w:lang w:eastAsia="zh-CN"/>
              </w:rPr>
              <w:t>以投标人提供的报价一览表为依据。</w:t>
            </w:r>
          </w:p>
        </w:tc>
      </w:tr>
      <w:tr w14:paraId="5A5D6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4" w:hRule="atLeast"/>
        </w:trPr>
        <w:tc>
          <w:tcPr>
            <w:tcW w:w="328" w:type="pct"/>
            <w:tcBorders>
              <w:top w:val="single" w:color="auto" w:sz="4" w:space="0"/>
              <w:left w:val="single" w:color="auto" w:sz="4" w:space="0"/>
              <w:right w:val="single" w:color="auto" w:sz="4" w:space="0"/>
            </w:tcBorders>
            <w:noWrap w:val="0"/>
            <w:vAlign w:val="center"/>
          </w:tcPr>
          <w:p w14:paraId="0CA41BA6">
            <w:pPr>
              <w:keepNext w:val="0"/>
              <w:keepLines w:val="0"/>
              <w:pageBreakBefore w:val="0"/>
              <w:widowControl w:val="0"/>
              <w:kinsoku/>
              <w:wordWrap/>
              <w:overflowPunct/>
              <w:topLinePunct w:val="0"/>
              <w:autoSpaceDE/>
              <w:autoSpaceDN/>
              <w:bidi w:val="0"/>
              <w:adjustRightInd/>
              <w:snapToGrid/>
              <w:spacing w:line="360" w:lineRule="auto"/>
              <w:ind w:firstLine="28" w:firstLineChars="0"/>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w:t>
            </w:r>
          </w:p>
        </w:tc>
        <w:tc>
          <w:tcPr>
            <w:tcW w:w="1869" w:type="dxa"/>
            <w:tcBorders>
              <w:top w:val="single" w:color="auto" w:sz="4" w:space="0"/>
              <w:left w:val="single" w:color="auto" w:sz="4" w:space="0"/>
              <w:right w:val="single" w:color="auto" w:sz="4" w:space="0"/>
            </w:tcBorders>
            <w:noWrap w:val="0"/>
            <w:vAlign w:val="center"/>
          </w:tcPr>
          <w:p w14:paraId="187007D9">
            <w:pPr>
              <w:keepNext w:val="0"/>
              <w:keepLines w:val="0"/>
              <w:widowControl/>
              <w:suppressLineNumbers w:val="0"/>
              <w:jc w:val="left"/>
              <w:textAlignment w:val="center"/>
              <w:rPr>
                <w:rFonts w:hint="eastAsia" w:ascii="仿宋" w:hAnsi="仿宋" w:eastAsia="仿宋" w:cs="仿宋"/>
                <w:b w:val="0"/>
                <w:bCs w:val="0"/>
                <w:color w:val="auto"/>
                <w:spacing w:val="-10"/>
                <w:sz w:val="22"/>
                <w:szCs w:val="22"/>
                <w:highlight w:val="none"/>
                <w:lang w:val="en-US" w:bidi="zh-CN"/>
              </w:rPr>
            </w:pPr>
            <w:r>
              <w:rPr>
                <w:rFonts w:hint="eastAsia" w:ascii="仿宋" w:hAnsi="仿宋" w:eastAsia="仿宋" w:cs="仿宋"/>
                <w:i w:val="0"/>
                <w:color w:val="000000"/>
                <w:kern w:val="0"/>
                <w:sz w:val="24"/>
                <w:szCs w:val="24"/>
                <w:u w:val="none"/>
                <w:lang w:val="en-US" w:eastAsia="zh-CN" w:bidi="ar"/>
              </w:rPr>
              <w:t>项目实施方案30%</w:t>
            </w:r>
          </w:p>
        </w:tc>
        <w:tc>
          <w:tcPr>
            <w:tcW w:w="941" w:type="dxa"/>
            <w:tcBorders>
              <w:top w:val="single" w:color="auto" w:sz="4" w:space="0"/>
              <w:left w:val="single" w:color="auto" w:sz="4" w:space="0"/>
              <w:right w:val="single" w:color="auto" w:sz="4" w:space="0"/>
            </w:tcBorders>
            <w:noWrap w:val="0"/>
            <w:vAlign w:val="center"/>
          </w:tcPr>
          <w:p w14:paraId="3EC59F04">
            <w:pPr>
              <w:keepNext w:val="0"/>
              <w:keepLines w:val="0"/>
              <w:widowControl/>
              <w:suppressLineNumbers w:val="0"/>
              <w:jc w:val="center"/>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i w:val="0"/>
                <w:color w:val="000000"/>
                <w:kern w:val="0"/>
                <w:sz w:val="24"/>
                <w:szCs w:val="24"/>
                <w:u w:val="none"/>
                <w:lang w:val="en-US" w:eastAsia="zh-CN" w:bidi="ar"/>
              </w:rPr>
              <w:t>30分</w:t>
            </w:r>
          </w:p>
        </w:tc>
        <w:tc>
          <w:tcPr>
            <w:tcW w:w="4919" w:type="dxa"/>
            <w:tcBorders>
              <w:top w:val="single" w:color="auto" w:sz="4" w:space="0"/>
              <w:left w:val="single" w:color="auto" w:sz="4" w:space="0"/>
              <w:bottom w:val="single" w:color="auto" w:sz="4" w:space="0"/>
              <w:right w:val="single" w:color="auto" w:sz="4" w:space="0"/>
            </w:tcBorders>
            <w:noWrap w:val="0"/>
            <w:vAlign w:val="center"/>
          </w:tcPr>
          <w:p w14:paraId="4E46C3F3">
            <w:pPr>
              <w:keepNext w:val="0"/>
              <w:keepLines w:val="0"/>
              <w:widowControl/>
              <w:suppressLineNumbers w:val="0"/>
              <w:jc w:val="left"/>
              <w:textAlignment w:val="center"/>
              <w:rPr>
                <w:rFonts w:hint="eastAsia" w:ascii="仿宋" w:hAnsi="仿宋" w:eastAsia="仿宋" w:cs="仿宋"/>
                <w:color w:val="auto"/>
                <w:sz w:val="22"/>
                <w:szCs w:val="22"/>
                <w:highlight w:val="none"/>
                <w:lang w:val="en-US" w:eastAsia="zh-CN"/>
              </w:rPr>
            </w:pPr>
            <w:r>
              <w:rPr>
                <w:rFonts w:hint="eastAsia" w:ascii="仿宋" w:hAnsi="仿宋" w:eastAsia="仿宋" w:cs="仿宋"/>
                <w:i w:val="0"/>
                <w:color w:val="000000"/>
                <w:kern w:val="0"/>
                <w:sz w:val="24"/>
                <w:szCs w:val="24"/>
                <w:u w:val="none"/>
                <w:lang w:val="en-US" w:eastAsia="zh-CN" w:bidi="ar"/>
              </w:rPr>
              <w:t>根据投标人提供的针对本项目的项目实施方案（包含：①配送服务计划及响应时限；②公司内部管理制度；③备货方案；④人员配置安排方案；⑤项目服务质量保障措施及安全保障措施。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以上5个部分方案要素齐全得30分。每缺少一个部分扣6分，扣完为止，内容描述存在不完整、前后矛盾、不符合项目要求中任何一种情形或其他不足之处的，每有一处扣1分，每个部分最多扣6分，扣完为止。（注：其他不足之处是指存在内容套用或错用、涉及的规范及标准错误、地点区域错误、科学原理错误以及不可能实现的夸大情形、仅有标题或框架等。）</w:t>
            </w:r>
          </w:p>
        </w:tc>
        <w:tc>
          <w:tcPr>
            <w:tcW w:w="888" w:type="pct"/>
            <w:tcBorders>
              <w:top w:val="single" w:color="auto" w:sz="4" w:space="0"/>
              <w:left w:val="single" w:color="auto" w:sz="4" w:space="0"/>
              <w:right w:val="single" w:color="auto" w:sz="4" w:space="0"/>
            </w:tcBorders>
            <w:noWrap w:val="0"/>
            <w:vAlign w:val="center"/>
          </w:tcPr>
          <w:p w14:paraId="034FF1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b w:val="0"/>
                <w:bCs w:val="0"/>
                <w:color w:val="auto"/>
                <w:sz w:val="24"/>
                <w:szCs w:val="24"/>
                <w:highlight w:val="none"/>
              </w:rPr>
              <w:t>以投标人提供的投标文件为依据。</w:t>
            </w:r>
          </w:p>
        </w:tc>
      </w:tr>
      <w:tr w14:paraId="1E2CC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1" w:hRule="atLeast"/>
        </w:trPr>
        <w:tc>
          <w:tcPr>
            <w:tcW w:w="328" w:type="pct"/>
            <w:tcBorders>
              <w:top w:val="single" w:color="auto" w:sz="4" w:space="0"/>
              <w:left w:val="single" w:color="auto" w:sz="4" w:space="0"/>
              <w:right w:val="single" w:color="auto" w:sz="4" w:space="0"/>
            </w:tcBorders>
            <w:noWrap w:val="0"/>
            <w:vAlign w:val="center"/>
          </w:tcPr>
          <w:p w14:paraId="038AB1E1">
            <w:pPr>
              <w:keepNext w:val="0"/>
              <w:keepLines w:val="0"/>
              <w:pageBreakBefore w:val="0"/>
              <w:widowControl w:val="0"/>
              <w:kinsoku/>
              <w:wordWrap/>
              <w:overflowPunct/>
              <w:topLinePunct w:val="0"/>
              <w:autoSpaceDE/>
              <w:autoSpaceDN/>
              <w:bidi w:val="0"/>
              <w:adjustRightInd/>
              <w:snapToGrid/>
              <w:spacing w:line="360" w:lineRule="auto"/>
              <w:ind w:firstLine="28" w:firstLineChars="0"/>
              <w:jc w:val="center"/>
              <w:textAlignment w:val="auto"/>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color w:val="auto"/>
                <w:sz w:val="22"/>
                <w:szCs w:val="22"/>
                <w:highlight w:val="none"/>
                <w:lang w:val="en-US" w:eastAsia="zh-CN"/>
              </w:rPr>
              <w:t>3</w:t>
            </w:r>
          </w:p>
        </w:tc>
        <w:tc>
          <w:tcPr>
            <w:tcW w:w="1869" w:type="dxa"/>
            <w:tcBorders>
              <w:top w:val="single" w:color="auto" w:sz="4" w:space="0"/>
              <w:left w:val="single" w:color="auto" w:sz="4" w:space="0"/>
              <w:right w:val="single" w:color="auto" w:sz="4" w:space="0"/>
            </w:tcBorders>
            <w:noWrap w:val="0"/>
            <w:vAlign w:val="center"/>
          </w:tcPr>
          <w:p w14:paraId="32B721AF">
            <w:pPr>
              <w:keepNext w:val="0"/>
              <w:keepLines w:val="0"/>
              <w:widowControl/>
              <w:suppressLineNumbers w:val="0"/>
              <w:jc w:val="left"/>
              <w:textAlignment w:val="center"/>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i w:val="0"/>
                <w:color w:val="000000"/>
                <w:kern w:val="0"/>
                <w:sz w:val="24"/>
                <w:szCs w:val="24"/>
                <w:u w:val="none"/>
                <w:lang w:val="en-US" w:eastAsia="zh-CN" w:bidi="ar"/>
              </w:rPr>
              <w:t>售后服务方案25%</w:t>
            </w:r>
          </w:p>
        </w:tc>
        <w:tc>
          <w:tcPr>
            <w:tcW w:w="941" w:type="dxa"/>
            <w:tcBorders>
              <w:top w:val="single" w:color="auto" w:sz="4" w:space="0"/>
              <w:left w:val="single" w:color="auto" w:sz="4" w:space="0"/>
              <w:right w:val="single" w:color="auto" w:sz="4" w:space="0"/>
            </w:tcBorders>
            <w:noWrap w:val="0"/>
            <w:vAlign w:val="center"/>
          </w:tcPr>
          <w:p w14:paraId="12C45D71">
            <w:pPr>
              <w:keepNext w:val="0"/>
              <w:keepLines w:val="0"/>
              <w:widowControl/>
              <w:suppressLineNumbers w:val="0"/>
              <w:jc w:val="center"/>
              <w:textAlignment w:val="center"/>
              <w:rPr>
                <w:rFonts w:hint="eastAsia" w:ascii="仿宋" w:hAnsi="仿宋" w:eastAsia="仿宋" w:cs="仿宋"/>
                <w:b w:val="0"/>
                <w:bCs w:val="0"/>
                <w:color w:val="auto"/>
                <w:spacing w:val="-10"/>
                <w:sz w:val="22"/>
                <w:szCs w:val="22"/>
                <w:highlight w:val="none"/>
                <w:lang w:bidi="zh-CN"/>
              </w:rPr>
            </w:pPr>
            <w:r>
              <w:rPr>
                <w:rFonts w:hint="eastAsia" w:ascii="仿宋" w:hAnsi="仿宋" w:eastAsia="仿宋" w:cs="仿宋"/>
                <w:i w:val="0"/>
                <w:color w:val="000000"/>
                <w:kern w:val="0"/>
                <w:sz w:val="24"/>
                <w:szCs w:val="24"/>
                <w:u w:val="none"/>
                <w:lang w:val="en-US" w:eastAsia="zh-CN" w:bidi="ar"/>
              </w:rPr>
              <w:t>25分</w:t>
            </w:r>
          </w:p>
        </w:tc>
        <w:tc>
          <w:tcPr>
            <w:tcW w:w="4919" w:type="dxa"/>
            <w:tcBorders>
              <w:top w:val="single" w:color="auto" w:sz="4" w:space="0"/>
              <w:left w:val="single" w:color="auto" w:sz="4" w:space="0"/>
              <w:bottom w:val="single" w:color="auto" w:sz="4" w:space="0"/>
              <w:right w:val="single" w:color="auto" w:sz="4" w:space="0"/>
            </w:tcBorders>
            <w:noWrap w:val="0"/>
            <w:vAlign w:val="center"/>
          </w:tcPr>
          <w:p w14:paraId="48E98D12">
            <w:pPr>
              <w:keepNext w:val="0"/>
              <w:keepLines w:val="0"/>
              <w:widowControl/>
              <w:suppressLineNumbers w:val="0"/>
              <w:jc w:val="left"/>
              <w:textAlignment w:val="center"/>
              <w:rPr>
                <w:rFonts w:hint="eastAsia" w:ascii="仿宋" w:hAnsi="仿宋" w:eastAsia="仿宋" w:cs="仿宋"/>
                <w:b w:val="0"/>
                <w:bCs w:val="0"/>
                <w:color w:val="auto"/>
                <w:spacing w:val="-10"/>
                <w:sz w:val="22"/>
                <w:szCs w:val="22"/>
                <w:highlight w:val="none"/>
                <w:lang w:val="en-US" w:bidi="zh-CN"/>
              </w:rPr>
            </w:pPr>
            <w:r>
              <w:rPr>
                <w:rFonts w:hint="eastAsia" w:ascii="仿宋" w:hAnsi="仿宋" w:eastAsia="仿宋" w:cs="仿宋"/>
                <w:i w:val="0"/>
                <w:color w:val="000000"/>
                <w:kern w:val="0"/>
                <w:sz w:val="24"/>
                <w:szCs w:val="24"/>
                <w:u w:val="none"/>
                <w:lang w:val="en-US" w:eastAsia="zh-CN" w:bidi="ar"/>
              </w:rPr>
              <w:t>根据投标人提供的针对本项目的售后服务方案（包含：①售后服务体系；②不良事件处理方案；③短缺货/紧急采购应急处置流程；④退换货服务方案;⑤设备维护保养技术人员。</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以上5个部分方案要素齐全得25分。每缺少一个部分扣5分，扣完为止，内容描述存在不完整、前后矛盾、不符合项目要求中任何一种情形或其他不足之处的，每有一处扣1分，每个部分最多扣5分，扣完为止。（注：其他不足之处是指存在内容套用或错用、涉及的规范及标准错误、地点区域错误、科学原理错误以及不可能实现的夸大情形、仅有标题或框架等。）</w:t>
            </w:r>
          </w:p>
        </w:tc>
        <w:tc>
          <w:tcPr>
            <w:tcW w:w="888" w:type="pct"/>
            <w:tcBorders>
              <w:top w:val="single" w:color="auto" w:sz="4" w:space="0"/>
              <w:left w:val="single" w:color="auto" w:sz="4" w:space="0"/>
              <w:right w:val="single" w:color="auto" w:sz="4" w:space="0"/>
            </w:tcBorders>
            <w:noWrap w:val="0"/>
            <w:vAlign w:val="center"/>
          </w:tcPr>
          <w:p w14:paraId="7FC29A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pacing w:val="-10"/>
                <w:sz w:val="24"/>
                <w:szCs w:val="24"/>
                <w:highlight w:val="none"/>
                <w:lang w:bidi="zh-CN"/>
              </w:rPr>
            </w:pPr>
            <w:r>
              <w:rPr>
                <w:rFonts w:hint="eastAsia" w:ascii="仿宋" w:hAnsi="仿宋" w:eastAsia="仿宋" w:cs="仿宋"/>
                <w:b w:val="0"/>
                <w:bCs w:val="0"/>
                <w:color w:val="auto"/>
                <w:sz w:val="24"/>
                <w:szCs w:val="24"/>
                <w:highlight w:val="none"/>
              </w:rPr>
              <w:t>以投标人提供的投标文件为依据。</w:t>
            </w:r>
          </w:p>
        </w:tc>
      </w:tr>
      <w:tr w14:paraId="685A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328" w:type="pct"/>
            <w:tcBorders>
              <w:top w:val="single" w:color="auto" w:sz="4" w:space="0"/>
              <w:left w:val="single" w:color="auto" w:sz="4" w:space="0"/>
              <w:bottom w:val="single" w:color="auto" w:sz="4" w:space="0"/>
              <w:right w:val="single" w:color="auto" w:sz="4" w:space="0"/>
            </w:tcBorders>
            <w:noWrap w:val="0"/>
            <w:vAlign w:val="center"/>
          </w:tcPr>
          <w:p w14:paraId="00475B5A">
            <w:pPr>
              <w:keepNext w:val="0"/>
              <w:keepLines w:val="0"/>
              <w:pageBreakBefore w:val="0"/>
              <w:widowControl w:val="0"/>
              <w:kinsoku/>
              <w:wordWrap/>
              <w:overflowPunct/>
              <w:topLinePunct w:val="0"/>
              <w:autoSpaceDE/>
              <w:autoSpaceDN/>
              <w:bidi w:val="0"/>
              <w:adjustRightInd/>
              <w:snapToGrid/>
              <w:spacing w:line="360" w:lineRule="auto"/>
              <w:ind w:firstLine="28" w:firstLineChars="0"/>
              <w:jc w:val="center"/>
              <w:textAlignment w:val="auto"/>
              <w:rPr>
                <w:rFonts w:hint="eastAsia" w:ascii="仿宋" w:hAnsi="仿宋" w:eastAsia="仿宋" w:cs="仿宋"/>
                <w:b w:val="0"/>
                <w:bCs w:val="0"/>
                <w:color w:val="auto"/>
                <w:spacing w:val="-10"/>
                <w:sz w:val="22"/>
                <w:szCs w:val="22"/>
                <w:highlight w:val="none"/>
                <w:lang w:val="en-US" w:bidi="zh-CN"/>
              </w:rPr>
            </w:pPr>
            <w:r>
              <w:rPr>
                <w:rFonts w:hint="eastAsia" w:ascii="仿宋" w:hAnsi="仿宋" w:eastAsia="仿宋" w:cs="仿宋"/>
                <w:color w:val="auto"/>
                <w:sz w:val="22"/>
                <w:szCs w:val="22"/>
                <w:highlight w:val="none"/>
                <w:lang w:val="en-US" w:eastAsia="zh-CN"/>
              </w:rPr>
              <w:t>4</w:t>
            </w:r>
          </w:p>
        </w:tc>
        <w:tc>
          <w:tcPr>
            <w:tcW w:w="1869" w:type="dxa"/>
            <w:tcBorders>
              <w:top w:val="single" w:color="auto" w:sz="4" w:space="0"/>
              <w:left w:val="single" w:color="auto" w:sz="4" w:space="0"/>
              <w:bottom w:val="single" w:color="auto" w:sz="4" w:space="0"/>
              <w:right w:val="single" w:color="auto" w:sz="4" w:space="0"/>
            </w:tcBorders>
            <w:noWrap w:val="0"/>
            <w:vAlign w:val="center"/>
          </w:tcPr>
          <w:p w14:paraId="47715068">
            <w:pPr>
              <w:keepNext w:val="0"/>
              <w:keepLines w:val="0"/>
              <w:widowControl/>
              <w:suppressLineNumbers w:val="0"/>
              <w:jc w:val="center"/>
              <w:textAlignment w:val="center"/>
              <w:rPr>
                <w:rFonts w:hint="eastAsia" w:ascii="仿宋" w:hAnsi="仿宋" w:eastAsia="仿宋" w:cs="仿宋"/>
                <w:b w:val="0"/>
                <w:bCs w:val="0"/>
                <w:color w:val="auto"/>
                <w:sz w:val="22"/>
                <w:szCs w:val="22"/>
                <w:highlight w:val="none"/>
              </w:rPr>
            </w:pPr>
            <w:bookmarkStart w:id="151" w:name="OLE_LINK16"/>
            <w:r>
              <w:rPr>
                <w:rFonts w:hint="eastAsia" w:ascii="仿宋" w:hAnsi="仿宋" w:eastAsia="仿宋" w:cs="仿宋"/>
                <w:i w:val="0"/>
                <w:color w:val="000000"/>
                <w:kern w:val="0"/>
                <w:sz w:val="24"/>
                <w:szCs w:val="24"/>
                <w:u w:val="none"/>
                <w:lang w:val="en-US" w:eastAsia="zh-CN" w:bidi="ar"/>
              </w:rPr>
              <w:t>同类业绩</w:t>
            </w:r>
            <w:bookmarkEnd w:id="151"/>
            <w:r>
              <w:rPr>
                <w:rFonts w:hint="eastAsia" w:ascii="仿宋" w:hAnsi="仿宋" w:eastAsia="仿宋" w:cs="仿宋"/>
                <w:i w:val="0"/>
                <w:color w:val="000000"/>
                <w:kern w:val="0"/>
                <w:sz w:val="24"/>
                <w:szCs w:val="24"/>
                <w:u w:val="none"/>
                <w:lang w:val="en-US" w:eastAsia="zh-CN" w:bidi="ar"/>
              </w:rPr>
              <w:t>5%</w:t>
            </w:r>
          </w:p>
        </w:tc>
        <w:tc>
          <w:tcPr>
            <w:tcW w:w="941" w:type="dxa"/>
            <w:tcBorders>
              <w:top w:val="single" w:color="auto" w:sz="4" w:space="0"/>
              <w:left w:val="single" w:color="auto" w:sz="4" w:space="0"/>
              <w:bottom w:val="single" w:color="auto" w:sz="4" w:space="0"/>
              <w:right w:val="single" w:color="auto" w:sz="4" w:space="0"/>
            </w:tcBorders>
            <w:noWrap w:val="0"/>
            <w:vAlign w:val="center"/>
          </w:tcPr>
          <w:p w14:paraId="23B2D88A">
            <w:pPr>
              <w:keepNext w:val="0"/>
              <w:keepLines w:val="0"/>
              <w:widowControl/>
              <w:suppressLineNumbers w:val="0"/>
              <w:jc w:val="center"/>
              <w:textAlignment w:val="center"/>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i w:val="0"/>
                <w:color w:val="000000"/>
                <w:kern w:val="0"/>
                <w:sz w:val="24"/>
                <w:szCs w:val="24"/>
                <w:u w:val="none"/>
                <w:lang w:val="en-US" w:eastAsia="zh-CN" w:bidi="ar"/>
              </w:rPr>
              <w:t>5分</w:t>
            </w:r>
          </w:p>
        </w:tc>
        <w:tc>
          <w:tcPr>
            <w:tcW w:w="4919" w:type="dxa"/>
            <w:tcBorders>
              <w:top w:val="single" w:color="auto" w:sz="4" w:space="0"/>
              <w:left w:val="single" w:color="auto" w:sz="4" w:space="0"/>
              <w:bottom w:val="single" w:color="auto" w:sz="4" w:space="0"/>
              <w:right w:val="single" w:color="auto" w:sz="4" w:space="0"/>
            </w:tcBorders>
            <w:noWrap w:val="0"/>
            <w:vAlign w:val="center"/>
          </w:tcPr>
          <w:p w14:paraId="7BBF308A">
            <w:pPr>
              <w:keepNext w:val="0"/>
              <w:keepLines w:val="0"/>
              <w:widowControl/>
              <w:suppressLineNumbers w:val="0"/>
              <w:jc w:val="left"/>
              <w:textAlignment w:val="center"/>
              <w:rPr>
                <w:rFonts w:hint="eastAsia" w:ascii="仿宋" w:hAnsi="仿宋" w:eastAsia="仿宋" w:cs="仿宋"/>
                <w:b w:val="0"/>
                <w:bCs w:val="0"/>
                <w:color w:val="auto"/>
                <w:sz w:val="22"/>
                <w:szCs w:val="22"/>
                <w:highlight w:val="none"/>
                <w:lang w:val="en-US" w:eastAsia="zh-CN"/>
              </w:rPr>
            </w:pPr>
            <w:r>
              <w:rPr>
                <w:rFonts w:hint="eastAsia" w:ascii="仿宋" w:hAnsi="仿宋" w:eastAsia="仿宋" w:cs="仿宋"/>
                <w:i w:val="0"/>
                <w:color w:val="000000"/>
                <w:kern w:val="0"/>
                <w:sz w:val="24"/>
                <w:szCs w:val="24"/>
                <w:u w:val="none"/>
                <w:lang w:val="en-US" w:eastAsia="zh-CN" w:bidi="ar"/>
              </w:rPr>
              <w:t>投标人自 2023年 1 月 1 日（以签订合同时间为准）至今，每提供 1 个同类业绩的得2.5分，本项最多得5分。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注：提供项目合同复印件，并加盖投标人鲜章。</w:t>
            </w:r>
          </w:p>
        </w:tc>
        <w:tc>
          <w:tcPr>
            <w:tcW w:w="888" w:type="pct"/>
            <w:tcBorders>
              <w:top w:val="single" w:color="auto" w:sz="4" w:space="0"/>
              <w:left w:val="single" w:color="auto" w:sz="4" w:space="0"/>
              <w:bottom w:val="single" w:color="auto" w:sz="4" w:space="0"/>
              <w:right w:val="single" w:color="auto" w:sz="4" w:space="0"/>
            </w:tcBorders>
            <w:noWrap w:val="0"/>
            <w:vAlign w:val="center"/>
          </w:tcPr>
          <w:p w14:paraId="0DB8ECC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以投标人提供的投标文件为依据。</w:t>
            </w:r>
          </w:p>
        </w:tc>
      </w:tr>
    </w:tbl>
    <w:p w14:paraId="06A8DC6D">
      <w:pPr>
        <w:spacing w:line="360" w:lineRule="auto"/>
        <w:rPr>
          <w:rFonts w:hint="eastAsia" w:ascii="仿宋" w:hAnsi="仿宋" w:eastAsia="仿宋" w:cs="仿宋"/>
          <w:sz w:val="24"/>
          <w:szCs w:val="24"/>
          <w:highlight w:val="none"/>
        </w:rPr>
      </w:pPr>
    </w:p>
    <w:p w14:paraId="35BA2C7F">
      <w:pPr>
        <w:pStyle w:val="2"/>
        <w:rPr>
          <w:rFonts w:hint="eastAsia" w:ascii="仿宋" w:hAnsi="仿宋" w:eastAsia="仿宋" w:cs="仿宋"/>
          <w:highlight w:val="none"/>
        </w:rPr>
      </w:pPr>
    </w:p>
    <w:p w14:paraId="195D4F7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注：评分的取值按四舍五入法，保留小数点后两位。</w:t>
      </w:r>
    </w:p>
    <w:bookmarkEnd w:id="140"/>
    <w:bookmarkEnd w:id="141"/>
    <w:bookmarkEnd w:id="142"/>
    <w:bookmarkEnd w:id="143"/>
    <w:p w14:paraId="39188083">
      <w:pPr>
        <w:tabs>
          <w:tab w:val="left" w:pos="851"/>
        </w:tabs>
        <w:spacing w:line="360" w:lineRule="auto"/>
        <w:jc w:val="center"/>
        <w:outlineLvl w:val="1"/>
        <w:rPr>
          <w:rFonts w:hint="eastAsia" w:ascii="仿宋" w:hAnsi="仿宋" w:eastAsia="仿宋" w:cs="仿宋"/>
          <w:b/>
          <w:sz w:val="28"/>
          <w:szCs w:val="28"/>
          <w:highlight w:val="none"/>
        </w:rPr>
      </w:pPr>
      <w:bookmarkStart w:id="152" w:name="_Toc26677"/>
      <w:r>
        <w:rPr>
          <w:rFonts w:hint="eastAsia" w:ascii="仿宋" w:hAnsi="仿宋" w:eastAsia="仿宋" w:cs="仿宋"/>
          <w:b/>
          <w:sz w:val="28"/>
          <w:szCs w:val="28"/>
          <w:highlight w:val="none"/>
        </w:rPr>
        <w:t>五、纪律及注意事项</w:t>
      </w:r>
      <w:bookmarkEnd w:id="152"/>
    </w:p>
    <w:p w14:paraId="4247F173">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4.1评标小组内部讨论的情况和意见必须保密，任何人不得以任何形式透露给投标人或与投标人有关的单位或个人。</w:t>
      </w:r>
    </w:p>
    <w:p w14:paraId="5ACFF77B">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4.2在采购活动过程中，投标人不得以任何形式对评标小组成员进行旨在影响采购结果的私下接触，否则将取消其参与采购的资格。</w:t>
      </w:r>
    </w:p>
    <w:p w14:paraId="64359709">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4.3对各投标人的商业秘密，评标小组成员应予以保密，不得泄露给其他投标人。</w:t>
      </w:r>
    </w:p>
    <w:p w14:paraId="444706C6">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4.4 评标小组独立评判，推荐中标候选人，并写出书面报告。</w:t>
      </w:r>
    </w:p>
    <w:p w14:paraId="58634B32">
      <w:pPr>
        <w:tabs>
          <w:tab w:val="left" w:pos="851"/>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4.5 评标小组可根据需要对投标人进行实地考察。</w:t>
      </w:r>
    </w:p>
    <w:bookmarkEnd w:id="144"/>
    <w:p w14:paraId="4BC17C75">
      <w:pPr>
        <w:tabs>
          <w:tab w:val="left" w:pos="7665"/>
        </w:tabs>
        <w:spacing w:line="360" w:lineRule="auto"/>
        <w:jc w:val="center"/>
        <w:outlineLvl w:val="1"/>
        <w:rPr>
          <w:rFonts w:hint="eastAsia" w:ascii="仿宋" w:hAnsi="仿宋" w:eastAsia="仿宋" w:cs="仿宋"/>
          <w:b/>
          <w:sz w:val="28"/>
          <w:szCs w:val="28"/>
          <w:highlight w:val="none"/>
        </w:rPr>
      </w:pPr>
      <w:bookmarkStart w:id="153" w:name="_Toc14931"/>
      <w:r>
        <w:rPr>
          <w:rFonts w:hint="eastAsia" w:ascii="仿宋" w:hAnsi="仿宋" w:eastAsia="仿宋" w:cs="仿宋"/>
          <w:b/>
          <w:bCs/>
          <w:sz w:val="28"/>
          <w:szCs w:val="28"/>
          <w:highlight w:val="none"/>
        </w:rPr>
        <w:t>六、评标</w:t>
      </w:r>
      <w:r>
        <w:rPr>
          <w:rFonts w:hint="eastAsia" w:ascii="仿宋" w:hAnsi="仿宋" w:eastAsia="仿宋" w:cs="仿宋"/>
          <w:b/>
          <w:sz w:val="28"/>
          <w:szCs w:val="28"/>
          <w:highlight w:val="none"/>
        </w:rPr>
        <w:t>小组在采购活动中承担以下义务</w:t>
      </w:r>
      <w:bookmarkEnd w:id="153"/>
    </w:p>
    <w:p w14:paraId="58C18EC4">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（一）遵守评标工作纪律；</w:t>
      </w:r>
    </w:p>
    <w:p w14:paraId="04F58A14">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（二）按照客观、公正、审慎的原则，根据招标文件规定的评标程序、评标方法和评标标准进行独立评标；</w:t>
      </w:r>
    </w:p>
    <w:p w14:paraId="09C393F2">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（三）不得泄露评标文件、评标情况和在评标过程中获悉的商业秘密；</w:t>
      </w:r>
    </w:p>
    <w:p w14:paraId="423ED10C">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（四）及时向有关部门报告评标过程中发现的采购人、采购代理机构向评标专家做倾向性、误导性的解释或者说明，以及投标人行贿、提供虚假材料或者串通等违法行为；</w:t>
      </w:r>
    </w:p>
    <w:p w14:paraId="1E10C4F8">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（五）发现招标文件内容违反国家有关强制性规定或者招标文件存在歧义、重大缺陷导致评标工作无法进行时，停止评标并向采购人或者采购代理机构书面说明情况；</w:t>
      </w:r>
    </w:p>
    <w:p w14:paraId="438BCF38">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（六）及时举报在评标过程中受到非法干预的情况；</w:t>
      </w:r>
    </w:p>
    <w:p w14:paraId="5C8AC069">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（七）配合答复处理投标人的询问、质疑和投诉等事项；</w:t>
      </w:r>
    </w:p>
    <w:p w14:paraId="4E0BE1D0">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（八）其他义务。</w:t>
      </w:r>
    </w:p>
    <w:p w14:paraId="1144A356">
      <w:pPr>
        <w:tabs>
          <w:tab w:val="left" w:pos="7665"/>
        </w:tabs>
        <w:spacing w:line="360" w:lineRule="auto"/>
        <w:jc w:val="center"/>
        <w:outlineLvl w:val="1"/>
        <w:rPr>
          <w:rFonts w:hint="eastAsia" w:ascii="仿宋" w:hAnsi="仿宋" w:eastAsia="仿宋" w:cs="仿宋"/>
          <w:b/>
          <w:sz w:val="28"/>
          <w:szCs w:val="28"/>
          <w:highlight w:val="none"/>
        </w:rPr>
      </w:pPr>
      <w:bookmarkStart w:id="154" w:name="_Toc1532"/>
      <w:r>
        <w:rPr>
          <w:rFonts w:hint="eastAsia" w:ascii="仿宋" w:hAnsi="仿宋" w:eastAsia="仿宋" w:cs="仿宋"/>
          <w:b/>
          <w:sz w:val="28"/>
          <w:szCs w:val="28"/>
          <w:highlight w:val="none"/>
        </w:rPr>
        <w:t>七、评标专家在采购活动中应当遵守以下工作纪律</w:t>
      </w:r>
      <w:bookmarkEnd w:id="154"/>
    </w:p>
    <w:p w14:paraId="7EF9F573">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（一）发现参加了与自己有利害关系的评标活动，须主动提出回避，退出评标；</w:t>
      </w:r>
    </w:p>
    <w:p w14:paraId="37F8A2A7">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（二）评标前，应当将通讯工具或者相关电子设备交由采购代理机构统一保管；</w:t>
      </w:r>
    </w:p>
    <w:p w14:paraId="43CC535F">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（三）评标过程中，不得与外界联系，因发生不可预见情况，确实需要与外界联系的，应当在监督人员监督之下办理；</w:t>
      </w:r>
    </w:p>
    <w:p w14:paraId="7E68B423">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评标过程中，不得发表影响评标公正的倾向性、歧视性言论，不得征询或者接受采购人的倾向性意见，不得明示或暗示投标人在澄清时表达与其投标文件原义不同的意见，不得以招标文件没有规定的评标方法和标准作为评标的依据，不得修改或者细化评标程序、评标方法、评标因素和评标标准，不得违规撰写评标意见，不得拒绝对自己的评标意见签字确认；</w:t>
      </w:r>
    </w:p>
    <w:p w14:paraId="56A9EFDE">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（五）在评标过程中和评标结束后，不得记录、复制或带走任何评标资料，不得向外界透露评标内容；</w:t>
      </w:r>
    </w:p>
    <w:p w14:paraId="19E1441A">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（六）评标现场服从采购代理机构工作人员的管理，接受现场监督人员的合法监督；</w:t>
      </w:r>
    </w:p>
    <w:p w14:paraId="7642A854">
      <w:pPr>
        <w:tabs>
          <w:tab w:val="left" w:pos="7665"/>
        </w:tabs>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（七）遵守有关廉洁自律规定，不得私下接触投标人，不得收受投标人及有关业务单位和个人的财物或好处，不得接受采购代理机构的请托。</w:t>
      </w:r>
    </w:p>
    <w:p w14:paraId="24675FBD">
      <w:pPr>
        <w:adjustRightInd w:val="0"/>
        <w:snapToGrid w:val="0"/>
        <w:spacing w:line="360" w:lineRule="auto"/>
        <w:rPr>
          <w:rFonts w:hint="eastAsia" w:ascii="仿宋" w:hAnsi="仿宋" w:eastAsia="仿宋" w:cs="仿宋"/>
          <w:b/>
          <w:bCs/>
          <w:sz w:val="24"/>
          <w:szCs w:val="24"/>
          <w:highlight w:val="none"/>
        </w:rPr>
      </w:pPr>
    </w:p>
    <w:p w14:paraId="4A84F6BE">
      <w:pPr>
        <w:spacing w:line="360" w:lineRule="auto"/>
        <w:jc w:val="center"/>
        <w:rPr>
          <w:rFonts w:hint="eastAsia" w:ascii="仿宋" w:hAnsi="仿宋" w:eastAsia="仿宋" w:cs="仿宋"/>
          <w:sz w:val="24"/>
          <w:szCs w:val="24"/>
          <w:highlight w:val="none"/>
        </w:rPr>
      </w:pPr>
    </w:p>
    <w:p w14:paraId="7FFF5AFA">
      <w:pPr>
        <w:spacing w:line="360" w:lineRule="auto"/>
        <w:rPr>
          <w:rFonts w:hint="eastAsia" w:ascii="仿宋" w:hAnsi="仿宋" w:eastAsia="仿宋" w:cs="仿宋"/>
          <w:sz w:val="24"/>
          <w:szCs w:val="24"/>
          <w:highlight w:val="none"/>
        </w:rPr>
      </w:pPr>
    </w:p>
    <w:p w14:paraId="2AA72493">
      <w:pPr>
        <w:numPr>
          <w:ilvl w:val="0"/>
          <w:numId w:val="4"/>
        </w:numPr>
        <w:tabs>
          <w:tab w:val="left" w:pos="7665"/>
        </w:tabs>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bookmarkStart w:id="155" w:name="_Toc3114"/>
      <w:r>
        <w:rPr>
          <w:rFonts w:hint="eastAsia" w:ascii="仿宋" w:hAnsi="仿宋" w:eastAsia="仿宋" w:cs="仿宋"/>
          <w:b/>
          <w:sz w:val="36"/>
          <w:szCs w:val="36"/>
          <w:highlight w:val="none"/>
        </w:rPr>
        <w:t xml:space="preserve"> 采购合同（草案）</w:t>
      </w:r>
      <w:bookmarkEnd w:id="155"/>
    </w:p>
    <w:bookmarkEnd w:id="96"/>
    <w:bookmarkEnd w:id="97"/>
    <w:bookmarkEnd w:id="98"/>
    <w:p w14:paraId="54901584">
      <w:pPr>
        <w:widowControl/>
        <w:spacing w:before="240" w:after="240"/>
        <w:jc w:val="center"/>
        <w:rPr>
          <w:rFonts w:hint="eastAsia" w:ascii="仿宋" w:hAnsi="仿宋" w:eastAsia="仿宋" w:cs="仿宋"/>
          <w:b/>
          <w:bCs/>
          <w:color w:val="auto"/>
          <w:kern w:val="0"/>
          <w:sz w:val="36"/>
          <w:highlight w:val="none"/>
        </w:rPr>
      </w:pPr>
      <w:bookmarkStart w:id="156" w:name="_Toc212285660"/>
      <w:bookmarkStart w:id="157" w:name="_Toc132254137"/>
      <w:bookmarkStart w:id="158" w:name="_Toc136833130"/>
      <w:bookmarkStart w:id="159" w:name="_Toc215280223"/>
      <w:bookmarkStart w:id="160" w:name="_Toc132254489"/>
      <w:bookmarkStart w:id="161" w:name="_Toc201853419"/>
      <w:bookmarkStart w:id="162" w:name="_Toc132253971"/>
      <w:bookmarkStart w:id="163" w:name="_Toc171051496"/>
      <w:bookmarkStart w:id="164" w:name="_Toc138581212"/>
      <w:bookmarkStart w:id="165" w:name="_Toc138581131"/>
      <w:bookmarkStart w:id="166" w:name="_Toc134953394"/>
      <w:bookmarkStart w:id="167" w:name="_Toc130193156"/>
      <w:bookmarkStart w:id="168" w:name="_Toc132163519"/>
      <w:bookmarkStart w:id="169" w:name="_Toc28817"/>
      <w:r>
        <w:rPr>
          <w:rFonts w:hint="eastAsia" w:ascii="仿宋" w:hAnsi="仿宋" w:eastAsia="仿宋" w:cs="仿宋"/>
          <w:b/>
          <w:bCs/>
          <w:color w:val="000000"/>
          <w:kern w:val="0"/>
          <w:sz w:val="36"/>
          <w:highlight w:val="none"/>
        </w:rPr>
        <w:t>富</w:t>
      </w:r>
      <w:r>
        <w:rPr>
          <w:rFonts w:hint="eastAsia" w:ascii="仿宋" w:hAnsi="仿宋" w:eastAsia="仿宋" w:cs="仿宋"/>
          <w:b/>
          <w:bCs/>
          <w:color w:val="auto"/>
          <w:kern w:val="0"/>
          <w:sz w:val="36"/>
          <w:highlight w:val="none"/>
        </w:rPr>
        <w:t>顺县中医医院</w:t>
      </w:r>
    </w:p>
    <w:p w14:paraId="3A3FF958">
      <w:pPr>
        <w:widowControl/>
        <w:spacing w:before="240" w:after="240"/>
        <w:jc w:val="center"/>
        <w:rPr>
          <w:rFonts w:hint="eastAsia" w:ascii="仿宋" w:hAnsi="仿宋" w:eastAsia="仿宋" w:cs="仿宋"/>
          <w:color w:val="auto"/>
          <w:kern w:val="0"/>
          <w:szCs w:val="21"/>
          <w:highlight w:val="none"/>
        </w:rPr>
      </w:pPr>
      <w:r>
        <w:rPr>
          <w:rFonts w:hint="eastAsia" w:ascii="仿宋" w:hAnsi="仿宋" w:eastAsia="仿宋" w:cs="仿宋"/>
          <w:b/>
          <w:bCs/>
          <w:color w:val="auto"/>
          <w:kern w:val="0"/>
          <w:sz w:val="36"/>
          <w:highlight w:val="none"/>
          <w:lang w:val="en-US" w:eastAsia="zh-CN"/>
        </w:rPr>
        <w:t>***</w:t>
      </w:r>
      <w:r>
        <w:rPr>
          <w:rFonts w:hint="eastAsia" w:ascii="仿宋" w:hAnsi="仿宋" w:eastAsia="仿宋" w:cs="仿宋"/>
          <w:b/>
          <w:bCs/>
          <w:color w:val="auto"/>
          <w:kern w:val="0"/>
          <w:sz w:val="36"/>
          <w:highlight w:val="none"/>
          <w:lang w:eastAsia="zh-CN"/>
        </w:rPr>
        <w:t>医疗</w:t>
      </w:r>
      <w:r>
        <w:rPr>
          <w:rFonts w:hint="eastAsia" w:ascii="仿宋" w:hAnsi="仿宋" w:eastAsia="仿宋" w:cs="仿宋"/>
          <w:b/>
          <w:bCs/>
          <w:color w:val="auto"/>
          <w:kern w:val="0"/>
          <w:sz w:val="36"/>
          <w:highlight w:val="none"/>
        </w:rPr>
        <w:t>耗材</w:t>
      </w:r>
      <w:r>
        <w:rPr>
          <w:rFonts w:hint="eastAsia" w:ascii="仿宋" w:hAnsi="仿宋" w:eastAsia="仿宋" w:cs="仿宋"/>
          <w:b/>
          <w:bCs/>
          <w:color w:val="auto"/>
          <w:kern w:val="0"/>
          <w:sz w:val="36"/>
          <w:highlight w:val="none"/>
          <w:lang w:eastAsia="zh-CN"/>
        </w:rPr>
        <w:t>采购项目</w:t>
      </w:r>
      <w:r>
        <w:rPr>
          <w:rFonts w:hint="eastAsia" w:ascii="仿宋" w:hAnsi="仿宋" w:eastAsia="仿宋" w:cs="仿宋"/>
          <w:b/>
          <w:bCs/>
          <w:color w:val="auto"/>
          <w:kern w:val="0"/>
          <w:sz w:val="36"/>
          <w:highlight w:val="none"/>
        </w:rPr>
        <w:t>采购合同</w:t>
      </w:r>
      <w:bookmarkEnd w:id="156"/>
      <w:bookmarkEnd w:id="157"/>
      <w:bookmarkEnd w:id="158"/>
      <w:bookmarkEnd w:id="159"/>
      <w:bookmarkEnd w:id="160"/>
      <w:bookmarkEnd w:id="161"/>
      <w:bookmarkEnd w:id="162"/>
      <w:bookmarkEnd w:id="163"/>
    </w:p>
    <w:p w14:paraId="642F1529">
      <w:pPr>
        <w:widowControl/>
        <w:spacing w:line="420" w:lineRule="exact"/>
        <w:jc w:val="left"/>
        <w:rPr>
          <w:rFonts w:hint="eastAsia" w:ascii="仿宋" w:hAnsi="仿宋" w:eastAsia="仿宋" w:cs="仿宋"/>
          <w:kern w:val="0"/>
          <w:sz w:val="24"/>
          <w:u w:val="single"/>
        </w:rPr>
      </w:pPr>
      <w:r>
        <w:rPr>
          <w:rFonts w:hint="eastAsia" w:ascii="仿宋" w:hAnsi="仿宋" w:eastAsia="仿宋" w:cs="仿宋"/>
          <w:color w:val="auto"/>
          <w:kern w:val="0"/>
          <w:sz w:val="32"/>
          <w:szCs w:val="32"/>
          <w:highlight w:val="none"/>
        </w:rPr>
        <w:t xml:space="preserve">                      </w:t>
      </w:r>
      <w:r>
        <w:rPr>
          <w:rFonts w:hint="eastAsia" w:ascii="仿宋" w:hAnsi="仿宋" w:eastAsia="仿宋" w:cs="仿宋"/>
          <w:color w:val="auto"/>
          <w:kern w:val="0"/>
          <w:sz w:val="24"/>
          <w:highlight w:val="none"/>
        </w:rPr>
        <w:t xml:space="preserve">  </w:t>
      </w:r>
    </w:p>
    <w:p w14:paraId="3434941C">
      <w:pPr>
        <w:widowControl/>
        <w:spacing w:line="360" w:lineRule="auto"/>
        <w:ind w:firstLine="480" w:firstLineChars="200"/>
        <w:jc w:val="left"/>
        <w:rPr>
          <w:rFonts w:hint="eastAsia" w:ascii="仿宋" w:hAnsi="仿宋" w:eastAsia="仿宋" w:cs="仿宋"/>
          <w:color w:val="000000"/>
          <w:sz w:val="24"/>
          <w:szCs w:val="24"/>
        </w:rPr>
      </w:pPr>
    </w:p>
    <w:p w14:paraId="1E27D2A2">
      <w:pPr>
        <w:widowControl/>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合同编号：</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(第  包）</w:t>
      </w:r>
      <w:r>
        <w:rPr>
          <w:rFonts w:hint="eastAsia" w:ascii="仿宋" w:hAnsi="仿宋" w:eastAsia="仿宋" w:cs="仿宋"/>
          <w:color w:val="000000"/>
          <w:sz w:val="24"/>
          <w:szCs w:val="24"/>
          <w:u w:val="single"/>
        </w:rPr>
        <w:t xml:space="preserve">  </w:t>
      </w:r>
    </w:p>
    <w:p w14:paraId="4E31D82F">
      <w:pPr>
        <w:widowControl/>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签订地点：</w:t>
      </w:r>
      <w:r>
        <w:rPr>
          <w:rFonts w:hint="eastAsia" w:ascii="仿宋" w:hAnsi="仿宋" w:eastAsia="仿宋" w:cs="仿宋"/>
          <w:color w:val="000000"/>
          <w:sz w:val="24"/>
          <w:szCs w:val="24"/>
          <w:u w:val="single"/>
        </w:rPr>
        <w:t xml:space="preserve">   富顺县中医医院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p>
    <w:p w14:paraId="744567FD">
      <w:pPr>
        <w:widowControl/>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签订时间：</w:t>
      </w:r>
      <w:r>
        <w:rPr>
          <w:rFonts w:hint="eastAsia" w:ascii="仿宋" w:hAnsi="仿宋" w:eastAsia="仿宋" w:cs="仿宋"/>
          <w:color w:val="000000"/>
          <w:sz w:val="24"/>
          <w:szCs w:val="24"/>
          <w:u w:val="single"/>
        </w:rPr>
        <w:t xml:space="preserve">  202</w:t>
      </w:r>
      <w:r>
        <w:rPr>
          <w:rFonts w:hint="eastAsia" w:ascii="仿宋" w:hAnsi="仿宋" w:eastAsia="仿宋" w:cs="仿宋"/>
          <w:color w:val="000000"/>
          <w:sz w:val="24"/>
          <w:szCs w:val="24"/>
          <w:u w:val="single"/>
          <w:lang w:val="en-US" w:eastAsia="zh-CN"/>
        </w:rPr>
        <w:t>5</w:t>
      </w:r>
      <w:r>
        <w:rPr>
          <w:rFonts w:hint="eastAsia" w:ascii="仿宋" w:hAnsi="仿宋" w:eastAsia="仿宋" w:cs="仿宋"/>
          <w:color w:val="000000"/>
          <w:sz w:val="24"/>
          <w:szCs w:val="24"/>
          <w:u w:val="single"/>
        </w:rPr>
        <w:t xml:space="preserve">年   月    日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p>
    <w:p w14:paraId="6E40A2D3">
      <w:pPr>
        <w:widowControl/>
        <w:spacing w:line="360" w:lineRule="auto"/>
        <w:ind w:firstLine="480" w:firstLineChars="200"/>
        <w:jc w:val="left"/>
        <w:rPr>
          <w:rFonts w:hint="eastAsia" w:ascii="仿宋" w:hAnsi="仿宋" w:eastAsia="仿宋" w:cs="仿宋"/>
          <w:color w:val="000000"/>
          <w:sz w:val="24"/>
          <w:szCs w:val="24"/>
        </w:rPr>
      </w:pPr>
      <w:r>
        <w:rPr>
          <w:rFonts w:hint="eastAsia" w:ascii="仿宋" w:hAnsi="仿宋" w:eastAsia="仿宋" w:cs="仿宋"/>
          <w:color w:val="000000"/>
          <w:sz w:val="24"/>
          <w:szCs w:val="24"/>
        </w:rPr>
        <w:t>招标人（甲方）：</w:t>
      </w:r>
      <w:r>
        <w:rPr>
          <w:rFonts w:hint="eastAsia" w:ascii="仿宋" w:hAnsi="仿宋" w:eastAsia="仿宋" w:cs="仿宋"/>
          <w:color w:val="000000"/>
          <w:sz w:val="24"/>
          <w:szCs w:val="24"/>
          <w:u w:val="single"/>
        </w:rPr>
        <w:t xml:space="preserve">  富顺县中医医院 </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p w14:paraId="187076EF">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color w:val="000000"/>
          <w:sz w:val="24"/>
          <w:szCs w:val="24"/>
        </w:rPr>
        <w:t>投标人（乙方）：</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eastAsia="zh-CN"/>
        </w:rPr>
        <w:t xml:space="preserve">                   </w:t>
      </w:r>
      <w:r>
        <w:rPr>
          <w:rFonts w:hint="eastAsia" w:ascii="仿宋" w:hAnsi="仿宋" w:eastAsia="仿宋" w:cs="仿宋"/>
          <w:color w:val="000000"/>
          <w:sz w:val="24"/>
          <w:szCs w:val="24"/>
          <w:u w:val="single"/>
        </w:rPr>
        <w:t xml:space="preserve"> </w:t>
      </w:r>
    </w:p>
    <w:p w14:paraId="5D528931">
      <w:pPr>
        <w:widowControl/>
        <w:spacing w:line="360" w:lineRule="auto"/>
        <w:ind w:left="194" w:leftChars="57" w:firstLine="360" w:firstLineChars="150"/>
        <w:jc w:val="left"/>
        <w:rPr>
          <w:rFonts w:hint="eastAsia" w:ascii="仿宋" w:hAnsi="仿宋" w:eastAsia="仿宋" w:cs="仿宋"/>
          <w:color w:val="000000"/>
          <w:kern w:val="0"/>
          <w:sz w:val="24"/>
        </w:rPr>
      </w:pPr>
      <w:r>
        <w:rPr>
          <w:rFonts w:hint="eastAsia" w:ascii="仿宋" w:hAnsi="仿宋" w:eastAsia="仿宋" w:cs="仿宋"/>
          <w:color w:val="000000"/>
          <w:kern w:val="0"/>
          <w:sz w:val="24"/>
        </w:rPr>
        <w:t>甲方对</w:t>
      </w:r>
      <w:bookmarkStart w:id="170" w:name="OLE_LINK29"/>
      <w:bookmarkStart w:id="171" w:name="OLE_LINK30"/>
      <w:r>
        <w:rPr>
          <w:rFonts w:hint="eastAsia" w:ascii="仿宋" w:hAnsi="仿宋" w:eastAsia="仿宋" w:cs="仿宋"/>
          <w:bCs/>
          <w:sz w:val="24"/>
        </w:rPr>
        <w:t>富顺县中医医院</w:t>
      </w:r>
      <w:bookmarkStart w:id="172" w:name="OLE_LINK26"/>
      <w:bookmarkStart w:id="173" w:name="OLE_LINK25"/>
      <w:r>
        <w:rPr>
          <w:rFonts w:hint="eastAsia" w:ascii="仿宋" w:hAnsi="仿宋" w:eastAsia="仿宋" w:cs="仿宋"/>
          <w:bCs/>
          <w:sz w:val="24"/>
        </w:rPr>
        <w:t>202</w:t>
      </w:r>
      <w:r>
        <w:rPr>
          <w:rFonts w:hint="eastAsia" w:ascii="仿宋" w:hAnsi="仿宋" w:eastAsia="仿宋" w:cs="仿宋"/>
          <w:bCs/>
          <w:sz w:val="24"/>
          <w:lang w:val="en-US" w:eastAsia="zh-CN"/>
        </w:rPr>
        <w:t>5</w:t>
      </w:r>
      <w:r>
        <w:rPr>
          <w:rFonts w:hint="eastAsia" w:ascii="仿宋" w:hAnsi="仿宋" w:eastAsia="仿宋" w:cs="仿宋"/>
          <w:bCs/>
          <w:sz w:val="24"/>
        </w:rPr>
        <w:t>年第</w:t>
      </w:r>
      <w:r>
        <w:rPr>
          <w:rFonts w:hint="eastAsia" w:ascii="仿宋" w:hAnsi="仿宋" w:eastAsia="仿宋" w:cs="仿宋"/>
          <w:bCs/>
          <w:sz w:val="24"/>
          <w:lang w:val="en-US" w:eastAsia="zh-CN"/>
        </w:rPr>
        <w:t>....</w:t>
      </w:r>
      <w:r>
        <w:rPr>
          <w:rFonts w:hint="eastAsia" w:ascii="仿宋" w:hAnsi="仿宋" w:eastAsia="仿宋" w:cs="仿宋"/>
          <w:bCs/>
          <w:sz w:val="24"/>
        </w:rPr>
        <w:t>批医疗耗材</w:t>
      </w:r>
      <w:bookmarkEnd w:id="172"/>
      <w:bookmarkEnd w:id="173"/>
      <w:r>
        <w:rPr>
          <w:rFonts w:hint="eastAsia" w:ascii="仿宋" w:hAnsi="仿宋" w:eastAsia="仿宋" w:cs="仿宋"/>
          <w:bCs/>
          <w:sz w:val="24"/>
        </w:rPr>
        <w:t>采购</w:t>
      </w:r>
      <w:bookmarkEnd w:id="170"/>
      <w:bookmarkEnd w:id="171"/>
      <w:r>
        <w:rPr>
          <w:rFonts w:hint="eastAsia" w:ascii="仿宋" w:hAnsi="仿宋" w:eastAsia="仿宋" w:cs="仿宋"/>
          <w:color w:val="000000"/>
          <w:kern w:val="0"/>
          <w:sz w:val="24"/>
        </w:rPr>
        <w:t>项目进行采购，于</w:t>
      </w:r>
      <w:r>
        <w:rPr>
          <w:rFonts w:hint="eastAsia" w:ascii="仿宋" w:hAnsi="仿宋" w:eastAsia="仿宋" w:cs="仿宋"/>
          <w:color w:val="000000"/>
          <w:kern w:val="0"/>
          <w:sz w:val="24"/>
          <w:u w:val="single"/>
        </w:rPr>
        <w:t>202</w:t>
      </w:r>
      <w:r>
        <w:rPr>
          <w:rFonts w:hint="eastAsia" w:ascii="仿宋" w:hAnsi="仿宋" w:eastAsia="仿宋" w:cs="仿宋"/>
          <w:color w:val="000000"/>
          <w:kern w:val="0"/>
          <w:sz w:val="24"/>
          <w:u w:val="single"/>
          <w:lang w:val="en-US" w:eastAsia="zh-CN"/>
        </w:rPr>
        <w:t>5</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年</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lang w:eastAsia="zh-CN"/>
        </w:rPr>
        <w:t xml:space="preserve"> </w:t>
      </w:r>
      <w:r>
        <w:rPr>
          <w:rFonts w:hint="eastAsia" w:ascii="仿宋" w:hAnsi="仿宋" w:eastAsia="仿宋" w:cs="仿宋"/>
          <w:color w:val="000000"/>
          <w:kern w:val="0"/>
          <w:sz w:val="24"/>
        </w:rPr>
        <w:t>月</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lang w:eastAsia="zh-CN"/>
        </w:rPr>
        <w:t xml:space="preserve">  </w:t>
      </w:r>
      <w:r>
        <w:rPr>
          <w:rFonts w:hint="eastAsia" w:ascii="仿宋" w:hAnsi="仿宋" w:eastAsia="仿宋" w:cs="仿宋"/>
          <w:color w:val="000000"/>
          <w:kern w:val="0"/>
          <w:sz w:val="24"/>
        </w:rPr>
        <w:t>日通过公开遴选，确定乙方为项目中选人。为了保护供需各方合法权益,根据《中华人民共和国政府采购法》、《中华人民共和国民法典》等相关法律、法规的规定，经甲乙双方一致协商，订立本合同。</w:t>
      </w:r>
    </w:p>
    <w:p w14:paraId="244C631C">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b/>
          <w:color w:val="000000"/>
          <w:kern w:val="0"/>
          <w:sz w:val="24"/>
        </w:rPr>
      </w:pPr>
      <w:r>
        <w:rPr>
          <w:rFonts w:hint="eastAsia" w:ascii="仿宋" w:hAnsi="仿宋" w:eastAsia="仿宋" w:cs="仿宋"/>
          <w:b/>
          <w:color w:val="000000"/>
          <w:kern w:val="0"/>
          <w:sz w:val="24"/>
        </w:rPr>
        <w:t>一、项目清单及合同金额</w:t>
      </w:r>
      <w:r>
        <w:rPr>
          <w:rFonts w:hint="eastAsia" w:ascii="仿宋" w:hAnsi="仿宋" w:eastAsia="仿宋" w:cs="仿宋"/>
          <w:color w:val="000000"/>
          <w:kern w:val="0"/>
          <w:sz w:val="24"/>
        </w:rPr>
        <w:t xml:space="preserve">（详见报价表，附后）   </w:t>
      </w:r>
    </w:p>
    <w:p w14:paraId="48938C25">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kern w:val="0"/>
          <w:sz w:val="24"/>
          <w:szCs w:val="24"/>
          <w:lang w:eastAsia="zh-CN"/>
        </w:rPr>
      </w:pPr>
      <w:r>
        <w:rPr>
          <w:rFonts w:hint="eastAsia" w:ascii="仿宋" w:hAnsi="仿宋" w:eastAsia="仿宋" w:cs="仿宋"/>
          <w:color w:val="000000"/>
          <w:kern w:val="0"/>
          <w:sz w:val="24"/>
        </w:rPr>
        <w:t>1. 项目名称：</w:t>
      </w:r>
      <w:r>
        <w:rPr>
          <w:rFonts w:hint="eastAsia" w:ascii="仿宋" w:hAnsi="仿宋" w:eastAsia="仿宋" w:cs="仿宋"/>
          <w:color w:val="000000"/>
          <w:sz w:val="24"/>
          <w:szCs w:val="24"/>
        </w:rPr>
        <w:t>富顺县中医医院</w:t>
      </w:r>
      <w:r>
        <w:rPr>
          <w:rFonts w:hint="eastAsia" w:ascii="仿宋" w:hAnsi="仿宋" w:eastAsia="仿宋" w:cs="仿宋"/>
          <w:color w:val="000000"/>
          <w:kern w:val="0"/>
          <w:sz w:val="24"/>
          <w:lang w:val="en-US" w:eastAsia="zh-CN"/>
        </w:rPr>
        <w:t>****</w:t>
      </w:r>
      <w:r>
        <w:rPr>
          <w:rFonts w:hint="eastAsia" w:ascii="仿宋" w:hAnsi="仿宋" w:eastAsia="仿宋" w:cs="仿宋"/>
          <w:color w:val="000000"/>
          <w:sz w:val="24"/>
          <w:szCs w:val="24"/>
          <w:lang w:eastAsia="zh-CN"/>
        </w:rPr>
        <w:t>采购项目</w:t>
      </w:r>
    </w:p>
    <w:p w14:paraId="24D14313">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000000"/>
          <w:kern w:val="0"/>
          <w:sz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项目编号</w:t>
      </w:r>
      <w:r>
        <w:rPr>
          <w:rFonts w:hint="eastAsia" w:ascii="仿宋" w:hAnsi="仿宋" w:eastAsia="仿宋" w:cs="仿宋"/>
          <w:kern w:val="0"/>
          <w:sz w:val="24"/>
          <w:szCs w:val="24"/>
          <w:lang w:eastAsia="zh-CN"/>
        </w:rPr>
        <w:t>：</w:t>
      </w:r>
    </w:p>
    <w:p w14:paraId="777A1D47">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rPr>
        <w:t xml:space="preserve">. 具体内容： (详见附表) </w:t>
      </w:r>
    </w:p>
    <w:p w14:paraId="323A8698">
      <w:pPr>
        <w:pStyle w:val="7"/>
        <w:spacing w:line="360" w:lineRule="auto"/>
        <w:ind w:firstLine="480"/>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val="en-US" w:eastAsia="zh-CN"/>
        </w:rPr>
        <w:t xml:space="preserve">4. </w:t>
      </w:r>
      <w:r>
        <w:rPr>
          <w:rFonts w:hint="eastAsia" w:ascii="仿宋" w:hAnsi="仿宋" w:eastAsia="仿宋" w:cs="仿宋"/>
          <w:color w:val="000000"/>
          <w:kern w:val="0"/>
          <w:sz w:val="24"/>
          <w:szCs w:val="24"/>
          <w:lang w:val="en-US" w:eastAsia="zh-CN" w:bidi="ar-SA"/>
        </w:rPr>
        <w:t>该合同附件价格已包括货物设计、材料、制造、包装、运输等所有其他</w:t>
      </w:r>
      <w:r>
        <w:rPr>
          <w:rFonts w:hint="eastAsia" w:ascii="仿宋" w:hAnsi="仿宋" w:eastAsia="仿宋" w:cs="仿宋"/>
          <w:color w:val="000000"/>
          <w:kern w:val="0"/>
          <w:sz w:val="24"/>
          <w:szCs w:val="24"/>
          <w:highlight w:val="none"/>
          <w:lang w:val="en-US" w:eastAsia="zh-CN" w:bidi="ar-SA"/>
        </w:rPr>
        <w:t>有关各项的含税费用。本合同执行期间采购单价变动参照2021年6月15《四川省医疗保障局关于规范开展药品和医用耗材集中采购工作的通知》执行。采购</w:t>
      </w:r>
      <w:r>
        <w:rPr>
          <w:rFonts w:hint="eastAsia" w:ascii="仿宋" w:hAnsi="仿宋" w:eastAsia="仿宋" w:cs="仿宋"/>
          <w:color w:val="000000"/>
          <w:kern w:val="0"/>
          <w:sz w:val="24"/>
          <w:szCs w:val="24"/>
          <w:lang w:val="en-US" w:eastAsia="zh-CN" w:bidi="ar-SA"/>
        </w:rPr>
        <w:t>数量及总金额以每月实际采购计划为准。</w:t>
      </w:r>
    </w:p>
    <w:p w14:paraId="02E05F22">
      <w:pPr>
        <w:pStyle w:val="7"/>
        <w:keepNext w:val="0"/>
        <w:keepLines w:val="0"/>
        <w:pageBreakBefore w:val="0"/>
        <w:kinsoku/>
        <w:wordWrap/>
        <w:overflowPunct/>
        <w:topLinePunct w:val="0"/>
        <w:autoSpaceDE/>
        <w:autoSpaceDN/>
        <w:bidi w:val="0"/>
        <w:spacing w:line="360" w:lineRule="auto"/>
        <w:ind w:firstLine="480"/>
        <w:textAlignment w:val="auto"/>
        <w:rPr>
          <w:rFonts w:hint="eastAsia" w:ascii="仿宋" w:hAnsi="仿宋" w:eastAsia="仿宋" w:cs="仿宋"/>
          <w:color w:val="000000"/>
          <w:kern w:val="0"/>
          <w:sz w:val="24"/>
          <w:szCs w:val="24"/>
          <w:lang w:val="en-US" w:eastAsia="zh-CN" w:bidi="ar-SA"/>
        </w:rPr>
      </w:pPr>
    </w:p>
    <w:p w14:paraId="1F5F5249">
      <w:pPr>
        <w:pStyle w:val="7"/>
        <w:keepNext w:val="0"/>
        <w:keepLines w:val="0"/>
        <w:pageBreakBefore w:val="0"/>
        <w:kinsoku/>
        <w:wordWrap/>
        <w:overflowPunct/>
        <w:topLinePunct w:val="0"/>
        <w:autoSpaceDE/>
        <w:autoSpaceDN/>
        <w:bidi w:val="0"/>
        <w:spacing w:line="360" w:lineRule="auto"/>
        <w:ind w:firstLine="480"/>
        <w:textAlignment w:val="auto"/>
        <w:rPr>
          <w:rFonts w:hint="eastAsia" w:ascii="仿宋" w:hAnsi="仿宋" w:eastAsia="仿宋" w:cs="仿宋"/>
          <w:color w:val="000000"/>
          <w:kern w:val="0"/>
          <w:sz w:val="24"/>
          <w:szCs w:val="24"/>
          <w:lang w:val="en-US" w:eastAsia="zh-CN" w:bidi="ar-SA"/>
        </w:rPr>
      </w:pPr>
    </w:p>
    <w:p w14:paraId="31382C67">
      <w:pPr>
        <w:keepNext w:val="0"/>
        <w:keepLines w:val="0"/>
        <w:pageBreakBefore w:val="0"/>
        <w:widowControl/>
        <w:numPr>
          <w:ilvl w:val="0"/>
          <w:numId w:val="5"/>
        </w:numPr>
        <w:kinsoku/>
        <w:wordWrap/>
        <w:overflowPunct/>
        <w:topLinePunct w:val="0"/>
        <w:autoSpaceDE/>
        <w:autoSpaceDN/>
        <w:bidi w:val="0"/>
        <w:spacing w:line="360" w:lineRule="auto"/>
        <w:jc w:val="left"/>
        <w:textAlignment w:val="auto"/>
        <w:rPr>
          <w:rFonts w:hint="eastAsia" w:ascii="仿宋" w:hAnsi="仿宋" w:eastAsia="仿宋" w:cs="仿宋"/>
        </w:rPr>
      </w:pPr>
      <w:r>
        <w:rPr>
          <w:rFonts w:hint="eastAsia" w:ascii="仿宋" w:hAnsi="仿宋" w:eastAsia="仿宋" w:cs="仿宋"/>
          <w:b/>
          <w:bCs/>
          <w:color w:val="000000"/>
          <w:kern w:val="0"/>
          <w:sz w:val="24"/>
        </w:rPr>
        <w:t>采购周期</w:t>
      </w:r>
      <w:r>
        <w:rPr>
          <w:rFonts w:hint="eastAsia" w:ascii="仿宋" w:hAnsi="仿宋" w:eastAsia="仿宋" w:cs="仿宋"/>
          <w:color w:val="000000"/>
          <w:kern w:val="0"/>
          <w:sz w:val="24"/>
        </w:rPr>
        <w:t xml:space="preserve">：    </w:t>
      </w: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rPr>
        <w:t xml:space="preserve"> 年  </w:t>
      </w: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rPr>
        <w:t>月 至     年    月</w:t>
      </w:r>
    </w:p>
    <w:p w14:paraId="11C408FD">
      <w:pPr>
        <w:pStyle w:val="21"/>
        <w:rPr>
          <w:rFonts w:hint="eastAsia" w:ascii="仿宋" w:hAnsi="仿宋" w:eastAsia="仿宋" w:cs="仿宋"/>
        </w:rPr>
      </w:pPr>
    </w:p>
    <w:p w14:paraId="6631D592">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b/>
          <w:color w:val="000000"/>
          <w:kern w:val="0"/>
          <w:sz w:val="24"/>
        </w:rPr>
      </w:pPr>
      <w:r>
        <w:rPr>
          <w:rFonts w:hint="eastAsia" w:ascii="仿宋" w:hAnsi="仿宋" w:eastAsia="仿宋" w:cs="仿宋"/>
          <w:b/>
          <w:color w:val="000000"/>
          <w:kern w:val="0"/>
          <w:sz w:val="24"/>
        </w:rPr>
        <w:t>三、交货时间、验收地点及交付方式</w:t>
      </w:r>
    </w:p>
    <w:p w14:paraId="2810005A">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w:t>
      </w:r>
      <w:r>
        <w:rPr>
          <w:rFonts w:hint="eastAsia" w:ascii="仿宋" w:hAnsi="仿宋" w:eastAsia="仿宋" w:cs="仿宋"/>
          <w:color w:val="000000"/>
          <w:kern w:val="0"/>
          <w:sz w:val="24"/>
          <w:lang w:val="en-US" w:eastAsia="zh-CN"/>
        </w:rPr>
        <w:t>.</w:t>
      </w:r>
      <w:r>
        <w:rPr>
          <w:rFonts w:hint="eastAsia" w:ascii="仿宋" w:hAnsi="仿宋" w:eastAsia="仿宋" w:cs="仿宋"/>
          <w:color w:val="000000"/>
          <w:kern w:val="0"/>
          <w:sz w:val="24"/>
        </w:rPr>
        <w:t xml:space="preserve"> 交货时间：在接到甲方的通知</w:t>
      </w:r>
      <w:r>
        <w:rPr>
          <w:rFonts w:hint="eastAsia" w:ascii="仿宋" w:hAnsi="仿宋" w:eastAsia="仿宋" w:cs="仿宋"/>
          <w:color w:val="000000" w:themeColor="text1"/>
          <w:kern w:val="0"/>
          <w:sz w:val="24"/>
          <w14:textFill>
            <w14:solidFill>
              <w14:schemeClr w14:val="tx1"/>
            </w14:solidFill>
          </w14:textFill>
        </w:rPr>
        <w:t>（包括并不限于书面、口头、电话、短信、微信等形式）</w:t>
      </w:r>
      <w:r>
        <w:rPr>
          <w:rFonts w:hint="eastAsia" w:ascii="仿宋" w:hAnsi="仿宋" w:eastAsia="仿宋" w:cs="仿宋"/>
          <w:color w:val="000000"/>
          <w:kern w:val="0"/>
          <w:sz w:val="24"/>
        </w:rPr>
        <w:t>后，</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lang w:val="en-US" w:eastAsia="zh-CN"/>
        </w:rPr>
        <w:t>48</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 xml:space="preserve"> 小时内。</w:t>
      </w:r>
    </w:p>
    <w:p w14:paraId="02BB9A8F">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2</w:t>
      </w: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rPr>
        <w:t>验收地点：甲方指定地点。</w:t>
      </w:r>
    </w:p>
    <w:p w14:paraId="121E0CF4">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3</w:t>
      </w: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rPr>
        <w:t>交付方式：免费送货上门，连同配套工具交付使用，如因甲方手术需要，则厂家技术人员须免费上门指导。</w:t>
      </w:r>
    </w:p>
    <w:p w14:paraId="12BE0635">
      <w:pPr>
        <w:pStyle w:val="21"/>
        <w:rPr>
          <w:rFonts w:hint="eastAsia" w:ascii="仿宋" w:hAnsi="仿宋" w:eastAsia="仿宋" w:cs="仿宋"/>
        </w:rPr>
      </w:pPr>
    </w:p>
    <w:p w14:paraId="304A8F7A">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b/>
          <w:color w:val="000000"/>
          <w:kern w:val="0"/>
          <w:sz w:val="24"/>
        </w:rPr>
      </w:pPr>
      <w:r>
        <w:rPr>
          <w:rFonts w:hint="eastAsia" w:ascii="仿宋" w:hAnsi="仿宋" w:eastAsia="仿宋" w:cs="仿宋"/>
          <w:b/>
          <w:color w:val="000000"/>
          <w:kern w:val="0"/>
          <w:sz w:val="24"/>
        </w:rPr>
        <w:t>四、履约验收</w:t>
      </w:r>
    </w:p>
    <w:p w14:paraId="210A932F">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乙方提供的耗材为最新生产的原装正品，各项指标符合出产国检测标准和出厂标准，各项技术参数符合</w:t>
      </w:r>
      <w:r>
        <w:rPr>
          <w:rFonts w:hint="eastAsia" w:ascii="仿宋" w:hAnsi="仿宋" w:eastAsia="仿宋" w:cs="仿宋"/>
          <w:color w:val="000000"/>
          <w:kern w:val="0"/>
          <w:sz w:val="24"/>
          <w:lang w:eastAsia="zh-CN"/>
        </w:rPr>
        <w:t>采购</w:t>
      </w:r>
      <w:r>
        <w:rPr>
          <w:rFonts w:hint="eastAsia" w:ascii="仿宋" w:hAnsi="仿宋" w:eastAsia="仿宋" w:cs="仿宋"/>
          <w:color w:val="000000"/>
          <w:kern w:val="0"/>
          <w:sz w:val="24"/>
        </w:rPr>
        <w:t>文件要求和乙方投递的</w:t>
      </w:r>
      <w:r>
        <w:rPr>
          <w:rFonts w:hint="eastAsia" w:ascii="仿宋" w:hAnsi="仿宋" w:eastAsia="仿宋" w:cs="仿宋"/>
          <w:color w:val="000000"/>
          <w:kern w:val="0"/>
          <w:sz w:val="24"/>
          <w:lang w:eastAsia="zh-CN"/>
        </w:rPr>
        <w:t>响应</w:t>
      </w:r>
      <w:r>
        <w:rPr>
          <w:rFonts w:hint="eastAsia" w:ascii="仿宋" w:hAnsi="仿宋" w:eastAsia="仿宋" w:cs="仿宋"/>
          <w:color w:val="000000"/>
          <w:kern w:val="0"/>
          <w:sz w:val="24"/>
        </w:rPr>
        <w:t>文件承诺。</w:t>
      </w:r>
    </w:p>
    <w:p w14:paraId="7BAAA4EB">
      <w:pPr>
        <w:keepNext w:val="0"/>
        <w:keepLines w:val="0"/>
        <w:pageBreakBefore w:val="0"/>
        <w:widowControl/>
        <w:kinsoku/>
        <w:wordWrap/>
        <w:overflowPunct/>
        <w:topLinePunct w:val="0"/>
        <w:autoSpaceDE/>
        <w:autoSpaceDN/>
        <w:bidi w:val="0"/>
        <w:spacing w:line="360" w:lineRule="auto"/>
        <w:ind w:left="384" w:leftChars="113" w:firstLine="120" w:firstLineChars="50"/>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 xml:space="preserve"> 乙方提供的产品若为原装进口产品，还应在验收时提供该耗材属原装进口</w:t>
      </w:r>
    </w:p>
    <w:p w14:paraId="06E06799">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 xml:space="preserve">的相关凭据。 </w:t>
      </w:r>
    </w:p>
    <w:p w14:paraId="30E91C15">
      <w:pPr>
        <w:keepNext w:val="0"/>
        <w:keepLines w:val="0"/>
        <w:pageBreakBefore w:val="0"/>
        <w:widowControl/>
        <w:kinsoku/>
        <w:wordWrap/>
        <w:overflowPunct/>
        <w:topLinePunct w:val="0"/>
        <w:autoSpaceDE/>
        <w:autoSpaceDN/>
        <w:bidi w:val="0"/>
        <w:spacing w:line="360" w:lineRule="auto"/>
        <w:ind w:left="1255" w:leftChars="228" w:hanging="480" w:hangingChars="200"/>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乙方所交产品不符合规定或质量不合格的，由乙方负责包换，并承担换货</w:t>
      </w:r>
    </w:p>
    <w:p w14:paraId="7924CC3D">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 xml:space="preserve">而支付的一切费用。乙方不能调换的，按不能交货处理。 </w:t>
      </w:r>
    </w:p>
    <w:p w14:paraId="236F9393">
      <w:pPr>
        <w:pStyle w:val="21"/>
        <w:rPr>
          <w:rFonts w:hint="eastAsia" w:ascii="仿宋" w:hAnsi="仿宋" w:eastAsia="仿宋" w:cs="仿宋"/>
        </w:rPr>
      </w:pPr>
    </w:p>
    <w:p w14:paraId="7104922D">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b/>
          <w:color w:val="000000"/>
          <w:kern w:val="0"/>
          <w:sz w:val="24"/>
        </w:rPr>
      </w:pPr>
      <w:r>
        <w:rPr>
          <w:rFonts w:hint="eastAsia" w:ascii="仿宋" w:hAnsi="仿宋" w:eastAsia="仿宋" w:cs="仿宋"/>
          <w:b/>
          <w:color w:val="000000"/>
          <w:kern w:val="0"/>
          <w:sz w:val="24"/>
        </w:rPr>
        <w:t>五、售后服务</w:t>
      </w:r>
    </w:p>
    <w:p w14:paraId="361C6DDB">
      <w:pPr>
        <w:keepNext w:val="0"/>
        <w:keepLines w:val="0"/>
        <w:pageBreakBefore w:val="0"/>
        <w:widowControl/>
        <w:kinsoku/>
        <w:wordWrap/>
        <w:overflowPunct/>
        <w:topLinePunct w:val="0"/>
        <w:autoSpaceDE/>
        <w:autoSpaceDN/>
        <w:bidi w:val="0"/>
        <w:spacing w:line="360" w:lineRule="auto"/>
        <w:ind w:left="775" w:leftChars="228"/>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1</w:t>
      </w:r>
      <w:r>
        <w:rPr>
          <w:rFonts w:hint="eastAsia" w:ascii="仿宋" w:hAnsi="仿宋" w:eastAsia="仿宋" w:cs="仿宋"/>
          <w:color w:val="000000"/>
          <w:kern w:val="0"/>
          <w:sz w:val="24"/>
          <w:lang w:val="en-US" w:eastAsia="zh-CN"/>
        </w:rPr>
        <w:t xml:space="preserve">. </w:t>
      </w:r>
      <w:r>
        <w:rPr>
          <w:rFonts w:hint="eastAsia" w:ascii="仿宋" w:hAnsi="仿宋" w:eastAsia="仿宋" w:cs="仿宋"/>
          <w:color w:val="000000"/>
          <w:kern w:val="0"/>
          <w:sz w:val="24"/>
        </w:rPr>
        <w:t>严格遵守售后服务承诺，耗材在使用中出现任何问题，甲方与乙方联系，</w:t>
      </w:r>
    </w:p>
    <w:p w14:paraId="3D93E32E">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乙方在接到电话后</w:t>
      </w:r>
      <w:r>
        <w:rPr>
          <w:rFonts w:hint="eastAsia" w:ascii="仿宋" w:hAnsi="仿宋" w:eastAsia="仿宋" w:cs="仿宋"/>
          <w:color w:val="000000"/>
          <w:kern w:val="0"/>
          <w:sz w:val="24"/>
          <w:u w:val="single"/>
        </w:rPr>
        <w:t xml:space="preserve">   4  </w:t>
      </w:r>
      <w:r>
        <w:rPr>
          <w:rFonts w:hint="eastAsia" w:ascii="仿宋" w:hAnsi="仿宋" w:eastAsia="仿宋" w:cs="仿宋"/>
          <w:color w:val="000000"/>
          <w:kern w:val="0"/>
          <w:sz w:val="24"/>
        </w:rPr>
        <w:t>小时内到达现场提供现场服务。有关内容如下：</w:t>
      </w:r>
    </w:p>
    <w:p w14:paraId="7B8C2860">
      <w:pPr>
        <w:keepNext w:val="0"/>
        <w:keepLines w:val="0"/>
        <w:pageBreakBefore w:val="0"/>
        <w:widowControl/>
        <w:numPr>
          <w:ilvl w:val="0"/>
          <w:numId w:val="6"/>
        </w:numPr>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乙方承诺，甲方使用乙方提供的产品，若发生质量问题，乙方将承担全部责任，若乙方不能自已证明该产品无质量问题，或是由非质量问题以外其他原因造成的，同样由乙方承担相应责任。</w:t>
      </w:r>
    </w:p>
    <w:p w14:paraId="4C858E4B">
      <w:pPr>
        <w:keepNext w:val="0"/>
        <w:keepLines w:val="0"/>
        <w:pageBreakBefore w:val="0"/>
        <w:widowControl/>
        <w:numPr>
          <w:ilvl w:val="0"/>
          <w:numId w:val="6"/>
        </w:numPr>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000000"/>
          <w:kern w:val="0"/>
          <w:sz w:val="24"/>
          <w:highlight w:val="none"/>
        </w:rPr>
      </w:pPr>
      <w:r>
        <w:rPr>
          <w:rFonts w:hint="eastAsia" w:ascii="仿宋" w:hAnsi="仿宋" w:eastAsia="仿宋" w:cs="仿宋"/>
          <w:color w:val="000000"/>
          <w:kern w:val="0"/>
          <w:sz w:val="24"/>
          <w:highlight w:val="none"/>
        </w:rPr>
        <w:t>提供相应的备用机</w:t>
      </w:r>
      <w:r>
        <w:rPr>
          <w:rFonts w:hint="eastAsia" w:ascii="仿宋" w:hAnsi="仿宋" w:eastAsia="仿宋" w:cs="仿宋"/>
          <w:color w:val="000000"/>
          <w:kern w:val="0"/>
          <w:sz w:val="24"/>
          <w:highlight w:val="none"/>
          <w:lang w:eastAsia="zh-CN"/>
        </w:rPr>
        <w:t>及</w:t>
      </w:r>
      <w:r>
        <w:rPr>
          <w:rFonts w:hint="eastAsia" w:ascii="仿宋" w:hAnsi="仿宋" w:eastAsia="仿宋" w:cs="仿宋"/>
          <w:color w:val="000000"/>
          <w:kern w:val="0"/>
          <w:sz w:val="24"/>
          <w:highlight w:val="none"/>
        </w:rPr>
        <w:t>备用机的维护保养，保证备用机的正常运行</w:t>
      </w:r>
      <w:r>
        <w:rPr>
          <w:rFonts w:hint="eastAsia" w:ascii="仿宋" w:hAnsi="仿宋" w:eastAsia="仿宋" w:cs="仿宋"/>
          <w:color w:val="000000"/>
          <w:kern w:val="0"/>
          <w:sz w:val="24"/>
          <w:highlight w:val="none"/>
          <w:lang w:eastAsia="zh-CN"/>
        </w:rPr>
        <w:t>。</w:t>
      </w:r>
      <w:r>
        <w:rPr>
          <w:rFonts w:hint="eastAsia" w:ascii="仿宋" w:hAnsi="仿宋" w:eastAsia="仿宋" w:cs="仿宋"/>
          <w:color w:val="000000"/>
          <w:kern w:val="0"/>
          <w:sz w:val="24"/>
          <w:highlight w:val="none"/>
        </w:rPr>
        <w:t xml:space="preserve">    </w:t>
      </w:r>
      <w:r>
        <w:rPr>
          <w:rFonts w:hint="eastAsia" w:ascii="仿宋" w:hAnsi="仿宋" w:eastAsia="仿宋" w:cs="仿宋"/>
          <w:kern w:val="0"/>
          <w:sz w:val="24"/>
          <w:highlight w:val="none"/>
        </w:rPr>
        <w:t xml:space="preserve">                                        </w:t>
      </w:r>
    </w:p>
    <w:p w14:paraId="6749C304">
      <w:pPr>
        <w:widowControl/>
        <w:numPr>
          <w:ilvl w:val="0"/>
          <w:numId w:val="6"/>
        </w:numPr>
        <w:spacing w:line="440" w:lineRule="exact"/>
        <w:ind w:left="0" w:leftChars="0" w:firstLine="480" w:firstLineChars="200"/>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highlight w:val="none"/>
        </w:rPr>
        <w:t>签定合同后耗材价格在</w:t>
      </w:r>
      <w:r>
        <w:rPr>
          <w:rFonts w:hint="eastAsia" w:ascii="仿宋" w:hAnsi="仿宋" w:eastAsia="仿宋" w:cs="仿宋"/>
          <w:sz w:val="24"/>
          <w:szCs w:val="24"/>
          <w:highlight w:val="none"/>
          <w:lang w:eastAsia="zh-CN"/>
        </w:rPr>
        <w:t>四川医保平台子系统</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lang w:eastAsia="zh-CN"/>
        </w:rPr>
        <w:t>药品和医用耗材招采管理系统</w:t>
      </w:r>
      <w:r>
        <w:rPr>
          <w:rFonts w:hint="eastAsia" w:ascii="仿宋" w:hAnsi="仿宋" w:eastAsia="仿宋" w:cs="仿宋"/>
          <w:kern w:val="0"/>
          <w:sz w:val="24"/>
          <w:highlight w:val="none"/>
        </w:rPr>
        <w:t>上如出现了最低采购价的按照最低价格进行采购，中标供应商无条件执行（并在</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四川医保平台子系统-药品和医用耗材招采管理系统</w:t>
      </w:r>
      <w:r>
        <w:rPr>
          <w:rFonts w:hint="eastAsia" w:ascii="仿宋" w:hAnsi="仿宋" w:eastAsia="仿宋" w:cs="仿宋"/>
          <w:kern w:val="0"/>
          <w:sz w:val="24"/>
          <w:highlight w:val="none"/>
          <w:lang w:eastAsia="zh-CN"/>
        </w:rPr>
        <w:t>”</w:t>
      </w:r>
      <w:r>
        <w:rPr>
          <w:rFonts w:hint="eastAsia" w:ascii="仿宋" w:hAnsi="仿宋" w:eastAsia="仿宋" w:cs="仿宋"/>
          <w:kern w:val="0"/>
          <w:sz w:val="24"/>
          <w:highlight w:val="none"/>
        </w:rPr>
        <w:t>上进行价格确认）生成订单，中标供应商如不执行我院有权终止合同。</w:t>
      </w:r>
    </w:p>
    <w:p w14:paraId="0AEDAEE0">
      <w:pPr>
        <w:widowControl/>
        <w:numPr>
          <w:ilvl w:val="0"/>
          <w:numId w:val="0"/>
        </w:numPr>
        <w:spacing w:line="440" w:lineRule="exact"/>
        <w:ind w:firstLine="480" w:firstLineChars="200"/>
        <w:jc w:val="left"/>
        <w:rPr>
          <w:rFonts w:hint="eastAsia" w:ascii="仿宋" w:hAnsi="仿宋" w:eastAsia="仿宋" w:cs="仿宋"/>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14:textFill>
            <w14:solidFill>
              <w14:schemeClr w14:val="tx1"/>
            </w14:solidFill>
          </w14:textFill>
        </w:rPr>
        <w:t>所有采购产品，出现国家集采范围内，进入国家集采范围内的产品自动中止采购，执行国家集采相关政策</w:t>
      </w:r>
      <w:r>
        <w:rPr>
          <w:rFonts w:hint="eastAsia" w:ascii="仿宋" w:hAnsi="仿宋" w:eastAsia="仿宋" w:cs="仿宋"/>
          <w:color w:val="000000" w:themeColor="text1"/>
          <w:sz w:val="24"/>
          <w:szCs w:val="24"/>
          <w:lang w:eastAsia="zh-CN"/>
          <w14:textFill>
            <w14:solidFill>
              <w14:schemeClr w14:val="tx1"/>
            </w14:solidFill>
          </w14:textFill>
        </w:rPr>
        <w:t>。</w:t>
      </w:r>
    </w:p>
    <w:p w14:paraId="7E016403">
      <w:pPr>
        <w:widowControl/>
        <w:numPr>
          <w:ilvl w:val="0"/>
          <w:numId w:val="0"/>
        </w:numPr>
        <w:spacing w:line="440" w:lineRule="exact"/>
        <w:ind w:leftChars="200"/>
        <w:jc w:val="left"/>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6.投标人需向采购人提供及时有效的技术支持。</w:t>
      </w:r>
    </w:p>
    <w:p w14:paraId="6CDC8238">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b/>
          <w:kern w:val="0"/>
          <w:sz w:val="24"/>
          <w:highlight w:val="none"/>
        </w:rPr>
      </w:pPr>
      <w:r>
        <w:rPr>
          <w:rFonts w:hint="eastAsia" w:ascii="仿宋" w:hAnsi="仿宋" w:eastAsia="仿宋" w:cs="仿宋"/>
          <w:b/>
          <w:kern w:val="0"/>
          <w:sz w:val="24"/>
          <w:highlight w:val="none"/>
        </w:rPr>
        <w:t>六、相关权利及义务</w:t>
      </w:r>
    </w:p>
    <w:p w14:paraId="6E14C2F1">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 xml:space="preserve">1. </w:t>
      </w:r>
      <w:r>
        <w:rPr>
          <w:rFonts w:hint="eastAsia" w:ascii="仿宋" w:hAnsi="仿宋" w:eastAsia="仿宋" w:cs="仿宋"/>
          <w:color w:val="000000"/>
          <w:kern w:val="0"/>
          <w:sz w:val="24"/>
        </w:rPr>
        <w:t>甲方在验收时对不符合</w:t>
      </w:r>
      <w:r>
        <w:rPr>
          <w:rFonts w:hint="eastAsia" w:ascii="仿宋" w:hAnsi="仿宋" w:eastAsia="仿宋" w:cs="仿宋"/>
          <w:color w:val="000000"/>
          <w:kern w:val="0"/>
          <w:sz w:val="24"/>
          <w:lang w:eastAsia="zh-CN"/>
        </w:rPr>
        <w:t>采购</w:t>
      </w:r>
      <w:r>
        <w:rPr>
          <w:rFonts w:hint="eastAsia" w:ascii="仿宋" w:hAnsi="仿宋" w:eastAsia="仿宋" w:cs="仿宋"/>
          <w:color w:val="000000"/>
          <w:kern w:val="0"/>
          <w:sz w:val="24"/>
        </w:rPr>
        <w:t xml:space="preserve">文件要求的产品有权拒绝接收和追究违约责任。 </w:t>
      </w:r>
    </w:p>
    <w:p w14:paraId="3A393679">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 xml:space="preserve">2. </w:t>
      </w:r>
      <w:r>
        <w:rPr>
          <w:rFonts w:hint="eastAsia" w:ascii="仿宋" w:hAnsi="仿宋" w:eastAsia="仿宋" w:cs="仿宋"/>
          <w:color w:val="000000"/>
          <w:kern w:val="0"/>
          <w:sz w:val="24"/>
        </w:rPr>
        <w:t>甲方有权监督乙方的售后服务，并对乙方的售后服务不符合</w:t>
      </w:r>
      <w:r>
        <w:rPr>
          <w:rFonts w:hint="eastAsia" w:ascii="仿宋" w:hAnsi="仿宋" w:eastAsia="仿宋" w:cs="仿宋"/>
          <w:color w:val="000000"/>
          <w:kern w:val="0"/>
          <w:sz w:val="24"/>
          <w:lang w:eastAsia="zh-CN"/>
        </w:rPr>
        <w:t>采购</w:t>
      </w:r>
      <w:r>
        <w:rPr>
          <w:rFonts w:hint="eastAsia" w:ascii="仿宋" w:hAnsi="仿宋" w:eastAsia="仿宋" w:cs="仿宋"/>
          <w:color w:val="000000"/>
          <w:kern w:val="0"/>
          <w:sz w:val="24"/>
        </w:rPr>
        <w:t>文件承诺内容时加以指出乃至追究合同责任。</w:t>
      </w:r>
    </w:p>
    <w:p w14:paraId="5F43F94B">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 xml:space="preserve">3. </w:t>
      </w:r>
      <w:r>
        <w:rPr>
          <w:rFonts w:hint="eastAsia" w:ascii="仿宋" w:hAnsi="仿宋" w:eastAsia="仿宋" w:cs="仿宋"/>
          <w:color w:val="000000"/>
          <w:kern w:val="0"/>
          <w:sz w:val="24"/>
        </w:rPr>
        <w:t>甲方在合同规定期限内协助履行付款责任。</w:t>
      </w:r>
    </w:p>
    <w:p w14:paraId="149E5D94">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 xml:space="preserve">4. </w:t>
      </w:r>
      <w:r>
        <w:rPr>
          <w:rFonts w:hint="eastAsia" w:ascii="仿宋" w:hAnsi="仿宋" w:eastAsia="仿宋" w:cs="仿宋"/>
          <w:color w:val="000000"/>
          <w:kern w:val="0"/>
          <w:sz w:val="24"/>
        </w:rPr>
        <w:t>乙方有权按照合同要</w:t>
      </w:r>
      <w:r>
        <w:rPr>
          <w:rFonts w:hint="eastAsia" w:ascii="仿宋" w:hAnsi="仿宋" w:eastAsia="仿宋" w:cs="仿宋"/>
          <w:color w:val="000000" w:themeColor="text1"/>
          <w:kern w:val="0"/>
          <w:sz w:val="24"/>
          <w14:textFill>
            <w14:solidFill>
              <w14:schemeClr w14:val="tx1"/>
            </w14:solidFill>
          </w14:textFill>
        </w:rPr>
        <w:t>求及时、保质、保量交付产品。</w:t>
      </w:r>
    </w:p>
    <w:p w14:paraId="2B521DE6">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 xml:space="preserve">5. </w:t>
      </w:r>
      <w:r>
        <w:rPr>
          <w:rFonts w:hint="eastAsia" w:ascii="仿宋" w:hAnsi="仿宋" w:eastAsia="仿宋" w:cs="仿宋"/>
          <w:color w:val="000000"/>
          <w:kern w:val="0"/>
          <w:sz w:val="24"/>
        </w:rPr>
        <w:t>乙方有义务按</w:t>
      </w:r>
      <w:r>
        <w:rPr>
          <w:rFonts w:hint="eastAsia" w:ascii="仿宋" w:hAnsi="仿宋" w:eastAsia="仿宋" w:cs="仿宋"/>
          <w:color w:val="000000"/>
          <w:kern w:val="0"/>
          <w:sz w:val="24"/>
          <w:lang w:eastAsia="zh-CN"/>
        </w:rPr>
        <w:t>采购</w:t>
      </w:r>
      <w:r>
        <w:rPr>
          <w:rFonts w:hint="eastAsia" w:ascii="仿宋" w:hAnsi="仿宋" w:eastAsia="仿宋" w:cs="仿宋"/>
          <w:color w:val="000000"/>
          <w:kern w:val="0"/>
          <w:sz w:val="24"/>
        </w:rPr>
        <w:t>文件</w:t>
      </w:r>
      <w:r>
        <w:rPr>
          <w:rFonts w:hint="eastAsia" w:ascii="仿宋" w:hAnsi="仿宋" w:eastAsia="仿宋" w:cs="仿宋"/>
          <w:color w:val="000000"/>
          <w:kern w:val="0"/>
          <w:sz w:val="24"/>
          <w:lang w:eastAsia="zh-CN"/>
        </w:rPr>
        <w:t>及响应文件</w:t>
      </w:r>
      <w:r>
        <w:rPr>
          <w:rFonts w:hint="eastAsia" w:ascii="仿宋" w:hAnsi="仿宋" w:eastAsia="仿宋" w:cs="仿宋"/>
          <w:color w:val="000000"/>
          <w:kern w:val="0"/>
          <w:sz w:val="24"/>
        </w:rPr>
        <w:t>中的售后服务承诺提供良好的服务。</w:t>
      </w:r>
    </w:p>
    <w:p w14:paraId="5ECA4A6D">
      <w:pPr>
        <w:pStyle w:val="2"/>
        <w:keepNext w:val="0"/>
        <w:keepLines w:val="0"/>
        <w:pageBreakBefore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所有中标公司的产品需经临床试用两个月，在试用过程中如临床科室提出异议，应更换产品的生产厂家或者规格</w:t>
      </w:r>
      <w:r>
        <w:rPr>
          <w:rFonts w:hint="eastAsia" w:ascii="仿宋" w:hAnsi="仿宋" w:eastAsia="仿宋" w:cs="仿宋"/>
          <w:color w:val="auto"/>
          <w:kern w:val="0"/>
          <w:sz w:val="24"/>
          <w:highlight w:val="none"/>
          <w:lang w:eastAsia="zh-CN"/>
        </w:rPr>
        <w:t>。</w:t>
      </w:r>
    </w:p>
    <w:p w14:paraId="3AA73499">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 xml:space="preserve">     7.在合同执行期间，同品种耗材在使用过程中如甲方需采购其他规格型号的，采购价参考</w:t>
      </w:r>
      <w:r>
        <w:rPr>
          <w:rFonts w:hint="eastAsia" w:ascii="仿宋" w:hAnsi="仿宋" w:eastAsia="仿宋" w:cs="仿宋"/>
          <w:color w:val="auto"/>
          <w:kern w:val="0"/>
          <w:sz w:val="24"/>
          <w:highlight w:val="none"/>
          <w:lang w:eastAsia="zh-CN"/>
        </w:rPr>
        <w:t>“</w:t>
      </w:r>
      <w:r>
        <w:rPr>
          <w:rFonts w:hint="eastAsia" w:ascii="仿宋" w:hAnsi="仿宋" w:eastAsia="仿宋" w:cs="仿宋"/>
          <w:kern w:val="0"/>
          <w:sz w:val="24"/>
          <w:highlight w:val="none"/>
        </w:rPr>
        <w:t>四川医保平台子系统-药品和医用耗材招采管理系统</w:t>
      </w:r>
      <w:r>
        <w:rPr>
          <w:rFonts w:hint="eastAsia" w:ascii="仿宋" w:hAnsi="仿宋" w:eastAsia="仿宋" w:cs="仿宋"/>
          <w:color w:val="auto"/>
          <w:kern w:val="0"/>
          <w:sz w:val="24"/>
          <w:highlight w:val="none"/>
          <w:lang w:eastAsia="zh-CN"/>
        </w:rPr>
        <w:t>”上价格。</w:t>
      </w:r>
    </w:p>
    <w:p w14:paraId="7DDE056A">
      <w:pPr>
        <w:pStyle w:val="21"/>
        <w:rPr>
          <w:rFonts w:hint="eastAsia" w:ascii="仿宋" w:hAnsi="仿宋" w:eastAsia="仿宋" w:cs="仿宋"/>
          <w:lang w:val="en-US" w:eastAsia="zh-CN"/>
        </w:rPr>
      </w:pPr>
    </w:p>
    <w:p w14:paraId="1E0432E9">
      <w:pPr>
        <w:keepNext w:val="0"/>
        <w:keepLines w:val="0"/>
        <w:pageBreakBefore w:val="0"/>
        <w:kinsoku/>
        <w:wordWrap/>
        <w:overflowPunct/>
        <w:topLinePunct w:val="0"/>
        <w:autoSpaceDE/>
        <w:autoSpaceDN/>
        <w:bidi w:val="0"/>
        <w:spacing w:line="360" w:lineRule="auto"/>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七、付款方式</w:t>
      </w:r>
    </w:p>
    <w:p w14:paraId="678992D0">
      <w:pPr>
        <w:pStyle w:val="36"/>
        <w:keepNext w:val="0"/>
        <w:keepLines w:val="0"/>
        <w:pageBreakBefore w:val="0"/>
        <w:kinsoku/>
        <w:wordWrap/>
        <w:overflowPunct/>
        <w:topLinePunct w:val="0"/>
        <w:autoSpaceDE/>
        <w:autoSpaceDN/>
        <w:bidi w:val="0"/>
        <w:spacing w:line="360" w:lineRule="auto"/>
        <w:ind w:firstLine="436" w:firstLineChars="182"/>
        <w:textAlignment w:val="auto"/>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 xml:space="preserve">1. </w:t>
      </w:r>
      <w:r>
        <w:rPr>
          <w:rFonts w:hint="eastAsia" w:ascii="仿宋" w:hAnsi="仿宋" w:eastAsia="仿宋" w:cs="仿宋"/>
          <w:sz w:val="24"/>
          <w:szCs w:val="24"/>
        </w:rPr>
        <w:t>乙方每月底须向甲方出具合法有效完整的发票及凭证资料进行支付结算。甲方财务部门每月按照实际采购金额进行滚动付款。</w:t>
      </w:r>
      <w:r>
        <w:rPr>
          <w:rFonts w:hint="eastAsia" w:ascii="仿宋" w:hAnsi="仿宋" w:eastAsia="仿宋" w:cs="仿宋"/>
          <w:color w:val="000000"/>
          <w:kern w:val="0"/>
          <w:sz w:val="24"/>
          <w:szCs w:val="24"/>
        </w:rPr>
        <w:t xml:space="preserve"> </w:t>
      </w:r>
    </w:p>
    <w:p w14:paraId="6B340EC3">
      <w:pPr>
        <w:pStyle w:val="30"/>
        <w:pageBreakBefore w:val="0"/>
        <w:numPr>
          <w:ilvl w:val="0"/>
          <w:numId w:val="0"/>
        </w:numPr>
        <w:kinsoku/>
        <w:wordWrap/>
        <w:overflowPunct/>
        <w:topLinePunct w:val="0"/>
        <w:bidi w:val="0"/>
        <w:spacing w:line="360" w:lineRule="auto"/>
        <w:ind w:firstLine="480" w:firstLineChars="200"/>
        <w:jc w:val="left"/>
        <w:rPr>
          <w:rFonts w:hint="eastAsia" w:ascii="仿宋" w:hAnsi="仿宋" w:eastAsia="仿宋" w:cs="仿宋"/>
          <w:color w:val="000000"/>
          <w:sz w:val="24"/>
          <w:szCs w:val="20"/>
          <w:lang w:val="zh-CN" w:eastAsia="zh-CN" w:bidi="ar-SA"/>
        </w:rPr>
      </w:pPr>
      <w:r>
        <w:rPr>
          <w:rFonts w:hint="eastAsia" w:ascii="仿宋" w:hAnsi="仿宋" w:eastAsia="仿宋" w:cs="仿宋"/>
          <w:color w:val="000000"/>
          <w:sz w:val="24"/>
          <w:szCs w:val="20"/>
          <w:lang w:val="en-US" w:eastAsia="zh-CN" w:bidi="ar-SA"/>
        </w:rPr>
        <w:t>2、</w:t>
      </w:r>
      <w:r>
        <w:rPr>
          <w:rFonts w:hint="eastAsia" w:ascii="仿宋" w:hAnsi="仿宋" w:eastAsia="仿宋" w:cs="仿宋"/>
          <w:color w:val="000000"/>
          <w:sz w:val="24"/>
          <w:szCs w:val="20"/>
          <w:lang w:val="zh-CN" w:eastAsia="zh-CN" w:bidi="ar-SA"/>
        </w:rPr>
        <w:t>履约保证金退还：耗材供货后</w:t>
      </w:r>
      <w:r>
        <w:rPr>
          <w:rFonts w:hint="eastAsia" w:ascii="仿宋" w:hAnsi="仿宋" w:eastAsia="仿宋" w:cs="仿宋"/>
          <w:color w:val="000000"/>
          <w:sz w:val="24"/>
          <w:szCs w:val="20"/>
          <w:lang w:val="en-US" w:eastAsia="zh-CN" w:bidi="ar-SA"/>
        </w:rPr>
        <w:t>6个月，</w:t>
      </w:r>
      <w:r>
        <w:rPr>
          <w:rFonts w:hint="eastAsia" w:ascii="仿宋" w:hAnsi="仿宋" w:eastAsia="仿宋" w:cs="仿宋"/>
          <w:color w:val="000000"/>
          <w:sz w:val="24"/>
          <w:szCs w:val="20"/>
          <w:lang w:val="zh-CN" w:eastAsia="zh-CN" w:bidi="ar-SA"/>
        </w:rPr>
        <w:t>货物无任何质量问题且中标人履行了售后服务义务，采购人凭中标人提供的退还履约保证金申请无息退还履约保证金。</w:t>
      </w:r>
      <w:r>
        <w:rPr>
          <w:rFonts w:hint="eastAsia" w:ascii="仿宋" w:hAnsi="仿宋" w:eastAsia="仿宋" w:cs="仿宋"/>
          <w:color w:val="000000"/>
          <w:sz w:val="24"/>
          <w:szCs w:val="20"/>
          <w:lang w:val="en-US" w:eastAsia="zh-CN" w:bidi="ar-SA"/>
        </w:rPr>
        <w:t>乙方履约不合格的，履约保证金不予退还。</w:t>
      </w:r>
    </w:p>
    <w:p w14:paraId="6B172974">
      <w:pPr>
        <w:pStyle w:val="2"/>
        <w:numPr>
          <w:ilvl w:val="0"/>
          <w:numId w:val="0"/>
        </w:numPr>
        <w:spacing w:line="360" w:lineRule="auto"/>
        <w:ind w:right="292" w:rightChars="0" w:firstLine="456" w:firstLineChars="200"/>
        <w:jc w:val="both"/>
        <w:rPr>
          <w:rFonts w:hint="eastAsia" w:ascii="仿宋" w:hAnsi="仿宋" w:eastAsia="仿宋" w:cs="仿宋"/>
          <w:spacing w:val="-6"/>
          <w:kern w:val="0"/>
          <w:sz w:val="24"/>
          <w:szCs w:val="22"/>
          <w:lang w:val="zh-CN" w:eastAsia="zh-CN" w:bidi="zh-CN"/>
        </w:rPr>
      </w:pPr>
      <w:r>
        <w:rPr>
          <w:rFonts w:hint="eastAsia" w:ascii="仿宋" w:hAnsi="仿宋" w:eastAsia="仿宋" w:cs="仿宋"/>
          <w:spacing w:val="-6"/>
          <w:kern w:val="0"/>
          <w:sz w:val="24"/>
          <w:szCs w:val="22"/>
          <w:lang w:val="en-US" w:eastAsia="zh-CN" w:bidi="zh-CN"/>
        </w:rPr>
        <w:t>3、</w:t>
      </w:r>
      <w:r>
        <w:rPr>
          <w:rFonts w:hint="eastAsia" w:ascii="仿宋" w:hAnsi="仿宋" w:eastAsia="仿宋" w:cs="仿宋"/>
          <w:spacing w:val="-6"/>
          <w:kern w:val="0"/>
          <w:sz w:val="24"/>
          <w:szCs w:val="22"/>
          <w:lang w:val="zh-CN" w:eastAsia="zh-CN" w:bidi="zh-CN"/>
        </w:rPr>
        <w:t>乙方须向甲方出具合法有效完整的完税发票及凭证资料后进行支付结算，付款方式均采用公对公的银行转账，乙方接受转账的开户信息以本协议载明的为准。</w:t>
      </w:r>
    </w:p>
    <w:p w14:paraId="697BDD5D">
      <w:pPr>
        <w:pStyle w:val="36"/>
        <w:keepNext w:val="0"/>
        <w:keepLines w:val="0"/>
        <w:pageBreakBefore w:val="0"/>
        <w:kinsoku/>
        <w:wordWrap/>
        <w:overflowPunct/>
        <w:topLinePunct w:val="0"/>
        <w:autoSpaceDE/>
        <w:autoSpaceDN/>
        <w:bidi w:val="0"/>
        <w:spacing w:line="360" w:lineRule="auto"/>
        <w:ind w:firstLine="480"/>
        <w:textAlignment w:val="auto"/>
        <w:rPr>
          <w:rFonts w:hint="eastAsia" w:ascii="仿宋" w:hAnsi="仿宋" w:eastAsia="仿宋" w:cs="仿宋"/>
          <w:color w:val="000000"/>
          <w:kern w:val="0"/>
          <w:sz w:val="24"/>
          <w:szCs w:val="24"/>
        </w:rPr>
      </w:pPr>
    </w:p>
    <w:p w14:paraId="7B01FC72">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b/>
          <w:color w:val="000000"/>
          <w:kern w:val="0"/>
          <w:sz w:val="24"/>
          <w:szCs w:val="24"/>
        </w:rPr>
      </w:pPr>
      <w:r>
        <w:rPr>
          <w:rFonts w:hint="eastAsia" w:ascii="仿宋" w:hAnsi="仿宋" w:eastAsia="仿宋" w:cs="仿宋"/>
          <w:b/>
          <w:color w:val="000000"/>
          <w:kern w:val="0"/>
          <w:sz w:val="24"/>
          <w:szCs w:val="24"/>
          <w:lang w:eastAsia="zh-CN"/>
        </w:rPr>
        <w:t>八</w:t>
      </w:r>
      <w:r>
        <w:rPr>
          <w:rFonts w:hint="eastAsia" w:ascii="仿宋" w:hAnsi="仿宋" w:eastAsia="仿宋" w:cs="仿宋"/>
          <w:b/>
          <w:color w:val="000000"/>
          <w:kern w:val="0"/>
          <w:sz w:val="24"/>
          <w:szCs w:val="24"/>
        </w:rPr>
        <w:t>、违约责任</w:t>
      </w:r>
    </w:p>
    <w:p w14:paraId="12F0B98D">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甲乙双方均应遵守本合同，如有违约，将赔偿因违约给对方造成的经济损失，因不可抗拒力所导致的交货及付款延迟等按照《中华人民共和国</w:t>
      </w:r>
      <w:r>
        <w:rPr>
          <w:rFonts w:hint="eastAsia" w:ascii="仿宋" w:hAnsi="仿宋" w:eastAsia="仿宋" w:cs="仿宋"/>
          <w:color w:val="000000"/>
          <w:kern w:val="0"/>
          <w:sz w:val="24"/>
          <w:lang w:eastAsia="zh-CN"/>
        </w:rPr>
        <w:t>民法典</w:t>
      </w:r>
      <w:r>
        <w:rPr>
          <w:rFonts w:hint="eastAsia" w:ascii="仿宋" w:hAnsi="仿宋" w:eastAsia="仿宋" w:cs="仿宋"/>
          <w:color w:val="000000"/>
          <w:kern w:val="0"/>
          <w:sz w:val="24"/>
        </w:rPr>
        <w:t>》有关条文及本合同第</w:t>
      </w:r>
      <w:r>
        <w:rPr>
          <w:rFonts w:hint="eastAsia" w:ascii="仿宋" w:hAnsi="仿宋" w:eastAsia="仿宋" w:cs="仿宋"/>
          <w:color w:val="000000"/>
          <w:kern w:val="0"/>
          <w:sz w:val="24"/>
          <w:lang w:eastAsia="zh-CN"/>
        </w:rPr>
        <w:t>九</w:t>
      </w:r>
      <w:r>
        <w:rPr>
          <w:rFonts w:hint="eastAsia" w:ascii="仿宋" w:hAnsi="仿宋" w:eastAsia="仿宋" w:cs="仿宋"/>
          <w:color w:val="000000"/>
          <w:kern w:val="0"/>
          <w:sz w:val="24"/>
        </w:rPr>
        <w:t>条处理。</w:t>
      </w:r>
    </w:p>
    <w:p w14:paraId="1E04854B">
      <w:pPr>
        <w:pStyle w:val="21"/>
        <w:rPr>
          <w:rFonts w:hint="eastAsia" w:ascii="仿宋" w:hAnsi="仿宋" w:eastAsia="仿宋" w:cs="仿宋"/>
        </w:rPr>
      </w:pPr>
    </w:p>
    <w:p w14:paraId="272437AC">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b/>
          <w:color w:val="000000"/>
          <w:kern w:val="0"/>
          <w:sz w:val="24"/>
        </w:rPr>
      </w:pPr>
      <w:r>
        <w:rPr>
          <w:rFonts w:hint="eastAsia" w:ascii="仿宋" w:hAnsi="仿宋" w:eastAsia="仿宋" w:cs="仿宋"/>
          <w:b/>
          <w:color w:val="000000"/>
          <w:kern w:val="0"/>
          <w:sz w:val="24"/>
          <w:lang w:eastAsia="zh-CN"/>
        </w:rPr>
        <w:t>九</w:t>
      </w:r>
      <w:r>
        <w:rPr>
          <w:rFonts w:hint="eastAsia" w:ascii="仿宋" w:hAnsi="仿宋" w:eastAsia="仿宋" w:cs="仿宋"/>
          <w:b/>
          <w:color w:val="000000"/>
          <w:kern w:val="0"/>
          <w:sz w:val="24"/>
        </w:rPr>
        <w:t xml:space="preserve">、不可抗力 </w:t>
      </w:r>
    </w:p>
    <w:p w14:paraId="27C542F7">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 xml:space="preserve">1. </w:t>
      </w:r>
      <w:r>
        <w:rPr>
          <w:rFonts w:hint="eastAsia" w:ascii="仿宋" w:hAnsi="仿宋" w:eastAsia="仿宋" w:cs="仿宋"/>
          <w:color w:val="000000"/>
          <w:kern w:val="0"/>
          <w:sz w:val="24"/>
        </w:rPr>
        <w:t>甲方由于不可抗力的原因不能履行合同时，应及时向乙方通报不能履行或不能完全履行的理由；乙方由于不可抗力的原因不能履行合同时，应在交货时间到期以前及时向甲方通报不能履行或不能完全履行的理由；在取得有关主管机关证明以后，可以签订延期履行、部分履行补充合同或者不履行合同，并根据情况可部分或全部免予承担违约责任。</w:t>
      </w:r>
    </w:p>
    <w:p w14:paraId="3CB11030">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val="en-US" w:eastAsia="zh-CN"/>
        </w:rPr>
        <w:t xml:space="preserve">2. </w:t>
      </w:r>
      <w:r>
        <w:rPr>
          <w:rFonts w:hint="eastAsia" w:ascii="仿宋" w:hAnsi="仿宋" w:eastAsia="仿宋" w:cs="仿宋"/>
          <w:color w:val="000000"/>
          <w:kern w:val="0"/>
          <w:sz w:val="24"/>
          <w:lang w:eastAsia="zh-CN"/>
        </w:rPr>
        <w:t>如因政策原因无法继续履行合同，双方无条件终止此合同。</w:t>
      </w:r>
    </w:p>
    <w:p w14:paraId="4ED3F3CB">
      <w:pPr>
        <w:keepNext w:val="0"/>
        <w:keepLines w:val="0"/>
        <w:pageBreakBefore w:val="0"/>
        <w:widowControl/>
        <w:kinsoku/>
        <w:wordWrap/>
        <w:overflowPunct/>
        <w:topLinePunct w:val="0"/>
        <w:autoSpaceDE/>
        <w:autoSpaceDN/>
        <w:bidi w:val="0"/>
        <w:spacing w:before="240" w:after="240" w:line="360" w:lineRule="auto"/>
        <w:jc w:val="left"/>
        <w:textAlignment w:val="auto"/>
        <w:rPr>
          <w:rFonts w:hint="eastAsia" w:ascii="仿宋" w:hAnsi="仿宋" w:eastAsia="仿宋" w:cs="仿宋"/>
          <w:color w:val="FF0000"/>
          <w:kern w:val="0"/>
          <w:sz w:val="24"/>
        </w:rPr>
      </w:pPr>
      <w:r>
        <w:rPr>
          <w:rFonts w:hint="eastAsia" w:ascii="仿宋" w:hAnsi="仿宋" w:eastAsia="仿宋" w:cs="仿宋"/>
          <w:b/>
          <w:bCs/>
          <w:color w:val="000000"/>
          <w:kern w:val="0"/>
          <w:sz w:val="24"/>
          <w:lang w:eastAsia="zh-CN"/>
        </w:rPr>
        <w:t>十</w:t>
      </w:r>
      <w:r>
        <w:rPr>
          <w:rFonts w:hint="eastAsia" w:ascii="仿宋" w:hAnsi="仿宋" w:eastAsia="仿宋" w:cs="仿宋"/>
          <w:b/>
          <w:bCs/>
          <w:color w:val="000000"/>
          <w:kern w:val="0"/>
          <w:sz w:val="24"/>
        </w:rPr>
        <w:t>、</w:t>
      </w:r>
      <w:r>
        <w:rPr>
          <w:rFonts w:hint="eastAsia" w:ascii="仿宋" w:hAnsi="仿宋" w:eastAsia="仿宋" w:cs="仿宋"/>
          <w:color w:val="000000"/>
          <w:kern w:val="0"/>
          <w:sz w:val="24"/>
        </w:rPr>
        <w:t>乙方因不可抗力、耗材不能满足甲方需要或者自身原因不能履行采购合同的，甲方可以与排位在中选人之后第一位的中选候选人签订采购合同，或重新组织采购；如果耗材的采购价格高于挂网价，终止合同，甲方重新组织采购。</w:t>
      </w:r>
    </w:p>
    <w:p w14:paraId="0A3FE3B8">
      <w:pPr>
        <w:keepNext w:val="0"/>
        <w:keepLines w:val="0"/>
        <w:pageBreakBefore w:val="0"/>
        <w:widowControl/>
        <w:kinsoku/>
        <w:wordWrap/>
        <w:overflowPunct/>
        <w:topLinePunct w:val="0"/>
        <w:autoSpaceDE/>
        <w:autoSpaceDN/>
        <w:bidi w:val="0"/>
        <w:spacing w:before="240" w:after="240" w:line="360" w:lineRule="auto"/>
        <w:jc w:val="left"/>
        <w:textAlignment w:val="auto"/>
        <w:rPr>
          <w:rFonts w:hint="eastAsia" w:ascii="仿宋" w:hAnsi="仿宋" w:eastAsia="仿宋" w:cs="仿宋"/>
          <w:color w:val="000000"/>
          <w:kern w:val="0"/>
          <w:sz w:val="32"/>
          <w:szCs w:val="32"/>
        </w:rPr>
      </w:pPr>
      <w:r>
        <w:rPr>
          <w:rFonts w:hint="eastAsia" w:ascii="仿宋" w:hAnsi="仿宋" w:eastAsia="仿宋" w:cs="仿宋"/>
          <w:b/>
          <w:color w:val="000000"/>
          <w:kern w:val="0"/>
          <w:sz w:val="24"/>
        </w:rPr>
        <w:t>十</w:t>
      </w:r>
      <w:r>
        <w:rPr>
          <w:rFonts w:hint="eastAsia" w:ascii="仿宋" w:hAnsi="仿宋" w:eastAsia="仿宋" w:cs="仿宋"/>
          <w:b/>
          <w:color w:val="000000"/>
          <w:kern w:val="0"/>
          <w:sz w:val="24"/>
          <w:lang w:eastAsia="zh-CN"/>
        </w:rPr>
        <w:t>一</w:t>
      </w:r>
      <w:r>
        <w:rPr>
          <w:rFonts w:hint="eastAsia" w:ascii="仿宋" w:hAnsi="仿宋" w:eastAsia="仿宋" w:cs="仿宋"/>
          <w:b/>
          <w:color w:val="000000"/>
          <w:kern w:val="0"/>
          <w:sz w:val="24"/>
        </w:rPr>
        <w:t>、争议</w:t>
      </w:r>
    </w:p>
    <w:p w14:paraId="170D0F1C">
      <w:pPr>
        <w:keepNext w:val="0"/>
        <w:keepLines w:val="0"/>
        <w:pageBreakBefore w:val="0"/>
        <w:widowControl/>
        <w:kinsoku/>
        <w:wordWrap/>
        <w:overflowPunct/>
        <w:topLinePunct w:val="0"/>
        <w:autoSpaceDE/>
        <w:autoSpaceDN/>
        <w:bidi w:val="0"/>
        <w:spacing w:before="240" w:after="240" w:line="360" w:lineRule="auto"/>
        <w:ind w:firstLine="48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24"/>
        </w:rPr>
        <w:t>双方本着友好合作的态度，对合同履行过程中发生的违约行为进行及时的协商解决，如不能协商解决可向合同</w:t>
      </w:r>
      <w:r>
        <w:rPr>
          <w:rFonts w:hint="eastAsia" w:ascii="仿宋" w:hAnsi="仿宋" w:eastAsia="仿宋" w:cs="仿宋"/>
          <w:color w:val="000000"/>
          <w:kern w:val="0"/>
          <w:sz w:val="24"/>
          <w:lang w:eastAsia="zh-CN"/>
        </w:rPr>
        <w:t>甲方住所</w:t>
      </w:r>
      <w:r>
        <w:rPr>
          <w:rFonts w:hint="eastAsia" w:ascii="仿宋" w:hAnsi="仿宋" w:eastAsia="仿宋" w:cs="仿宋"/>
          <w:color w:val="000000"/>
          <w:kern w:val="0"/>
          <w:sz w:val="24"/>
        </w:rPr>
        <w:t>地法院通过法律诉讼解决。</w:t>
      </w:r>
    </w:p>
    <w:p w14:paraId="703D94FF">
      <w:pPr>
        <w:keepNext w:val="0"/>
        <w:keepLines w:val="0"/>
        <w:pageBreakBefore w:val="0"/>
        <w:widowControl/>
        <w:kinsoku/>
        <w:wordWrap/>
        <w:overflowPunct/>
        <w:topLinePunct w:val="0"/>
        <w:autoSpaceDE/>
        <w:autoSpaceDN/>
        <w:bidi w:val="0"/>
        <w:spacing w:line="360" w:lineRule="auto"/>
        <w:jc w:val="left"/>
        <w:textAlignment w:val="auto"/>
        <w:rPr>
          <w:rFonts w:hint="eastAsia" w:ascii="仿宋" w:hAnsi="仿宋" w:eastAsia="仿宋" w:cs="仿宋"/>
          <w:b/>
          <w:color w:val="000000"/>
          <w:kern w:val="0"/>
          <w:sz w:val="24"/>
        </w:rPr>
      </w:pPr>
      <w:r>
        <w:rPr>
          <w:rFonts w:hint="eastAsia" w:ascii="仿宋" w:hAnsi="仿宋" w:eastAsia="仿宋" w:cs="仿宋"/>
          <w:b/>
          <w:color w:val="000000"/>
          <w:kern w:val="0"/>
          <w:sz w:val="24"/>
        </w:rPr>
        <w:t>十</w:t>
      </w:r>
      <w:r>
        <w:rPr>
          <w:rFonts w:hint="eastAsia" w:ascii="仿宋" w:hAnsi="仿宋" w:eastAsia="仿宋" w:cs="仿宋"/>
          <w:b/>
          <w:color w:val="000000"/>
          <w:kern w:val="0"/>
          <w:sz w:val="24"/>
          <w:lang w:eastAsia="zh-CN"/>
        </w:rPr>
        <w:t>二</w:t>
      </w:r>
      <w:r>
        <w:rPr>
          <w:rFonts w:hint="eastAsia" w:ascii="仿宋" w:hAnsi="仿宋" w:eastAsia="仿宋" w:cs="仿宋"/>
          <w:b/>
          <w:color w:val="000000"/>
          <w:kern w:val="0"/>
          <w:sz w:val="24"/>
        </w:rPr>
        <w:t>、其它</w:t>
      </w:r>
    </w:p>
    <w:p w14:paraId="3157739C">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本合同一式</w:t>
      </w:r>
      <w:r>
        <w:rPr>
          <w:rFonts w:hint="eastAsia" w:ascii="仿宋" w:hAnsi="仿宋" w:eastAsia="仿宋" w:cs="仿宋"/>
          <w:color w:val="000000"/>
          <w:kern w:val="0"/>
          <w:sz w:val="24"/>
          <w:lang w:eastAsia="zh-CN"/>
        </w:rPr>
        <w:t>陆</w:t>
      </w:r>
      <w:r>
        <w:rPr>
          <w:rFonts w:hint="eastAsia" w:ascii="仿宋" w:hAnsi="仿宋" w:eastAsia="仿宋" w:cs="仿宋"/>
          <w:color w:val="000000"/>
          <w:kern w:val="0"/>
          <w:sz w:val="24"/>
        </w:rPr>
        <w:t>份，甲方</w:t>
      </w:r>
      <w:r>
        <w:rPr>
          <w:rFonts w:hint="eastAsia" w:ascii="仿宋" w:hAnsi="仿宋" w:eastAsia="仿宋" w:cs="仿宋"/>
          <w:color w:val="000000"/>
          <w:kern w:val="0"/>
          <w:sz w:val="24"/>
          <w:lang w:eastAsia="zh-CN"/>
        </w:rPr>
        <w:t>四份</w:t>
      </w:r>
      <w:r>
        <w:rPr>
          <w:rFonts w:hint="eastAsia" w:ascii="仿宋" w:hAnsi="仿宋" w:eastAsia="仿宋" w:cs="仿宋"/>
          <w:color w:val="000000"/>
          <w:kern w:val="0"/>
          <w:sz w:val="24"/>
        </w:rPr>
        <w:t>、乙方一份</w:t>
      </w:r>
      <w:r>
        <w:rPr>
          <w:rFonts w:hint="eastAsia" w:ascii="仿宋" w:hAnsi="仿宋" w:eastAsia="仿宋" w:cs="仿宋"/>
          <w:color w:val="000000"/>
          <w:kern w:val="0"/>
          <w:sz w:val="24"/>
          <w:lang w:eastAsia="zh-CN"/>
        </w:rPr>
        <w:t>、代理一份</w:t>
      </w:r>
      <w:r>
        <w:rPr>
          <w:rFonts w:hint="eastAsia" w:ascii="仿宋" w:hAnsi="仿宋" w:eastAsia="仿宋" w:cs="仿宋"/>
          <w:color w:val="000000"/>
          <w:kern w:val="0"/>
          <w:sz w:val="24"/>
        </w:rPr>
        <w:t>。</w:t>
      </w:r>
    </w:p>
    <w:p w14:paraId="242496A1">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本合同自签订之日起生效。</w:t>
      </w:r>
    </w:p>
    <w:p w14:paraId="45A04BE2">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本项目的</w:t>
      </w:r>
      <w:r>
        <w:rPr>
          <w:rFonts w:hint="eastAsia" w:ascii="仿宋" w:hAnsi="仿宋" w:eastAsia="仿宋" w:cs="仿宋"/>
          <w:color w:val="000000"/>
          <w:kern w:val="0"/>
          <w:sz w:val="24"/>
          <w:lang w:eastAsia="zh-CN"/>
        </w:rPr>
        <w:t>采购</w:t>
      </w:r>
      <w:r>
        <w:rPr>
          <w:rFonts w:hint="eastAsia" w:ascii="仿宋" w:hAnsi="仿宋" w:eastAsia="仿宋" w:cs="仿宋"/>
          <w:color w:val="000000"/>
          <w:kern w:val="0"/>
          <w:sz w:val="24"/>
        </w:rPr>
        <w:t>文件等是本合同的附件，与合同具有同等的法律效力。</w:t>
      </w:r>
    </w:p>
    <w:p w14:paraId="6C6A5395">
      <w:pPr>
        <w:keepNext w:val="0"/>
        <w:keepLines w:val="0"/>
        <w:pageBreakBefore w:val="0"/>
        <w:widowControl/>
        <w:kinsoku/>
        <w:wordWrap/>
        <w:overflowPunct/>
        <w:topLinePunct w:val="0"/>
        <w:autoSpaceDE/>
        <w:autoSpaceDN/>
        <w:bidi w:val="0"/>
        <w:spacing w:line="360" w:lineRule="auto"/>
        <w:ind w:firstLine="480" w:firstLineChars="200"/>
        <w:jc w:val="left"/>
        <w:textAlignment w:val="auto"/>
        <w:rPr>
          <w:rFonts w:hint="eastAsia" w:ascii="仿宋" w:hAnsi="仿宋" w:eastAsia="仿宋" w:cs="仿宋"/>
          <w:color w:val="000000"/>
          <w:kern w:val="0"/>
          <w:sz w:val="24"/>
        </w:rPr>
      </w:pPr>
      <w:r>
        <w:rPr>
          <w:rFonts w:hint="eastAsia" w:ascii="仿宋" w:hAnsi="仿宋" w:eastAsia="仿宋" w:cs="仿宋"/>
          <w:color w:val="000000"/>
          <w:kern w:val="0"/>
          <w:sz w:val="24"/>
        </w:rPr>
        <w:t>其它未尽事宜，由双方友好协商解决，并参照《中华人民共和国</w:t>
      </w:r>
      <w:r>
        <w:rPr>
          <w:rFonts w:hint="eastAsia" w:ascii="仿宋" w:hAnsi="仿宋" w:eastAsia="仿宋" w:cs="仿宋"/>
          <w:color w:val="000000"/>
          <w:kern w:val="0"/>
          <w:sz w:val="24"/>
          <w:lang w:eastAsia="zh-CN"/>
        </w:rPr>
        <w:t>民法典</w:t>
      </w:r>
      <w:r>
        <w:rPr>
          <w:rFonts w:hint="eastAsia" w:ascii="仿宋" w:hAnsi="仿宋" w:eastAsia="仿宋" w:cs="仿宋"/>
          <w:color w:val="000000"/>
          <w:kern w:val="0"/>
          <w:sz w:val="24"/>
        </w:rPr>
        <w:t>》有关条款执行。</w:t>
      </w:r>
    </w:p>
    <w:p w14:paraId="456823A1">
      <w:pPr>
        <w:widowControl/>
        <w:spacing w:line="440" w:lineRule="exact"/>
        <w:jc w:val="left"/>
        <w:rPr>
          <w:rFonts w:hint="eastAsia" w:ascii="仿宋" w:hAnsi="仿宋" w:eastAsia="仿宋" w:cs="仿宋"/>
          <w:color w:val="000000"/>
          <w:kern w:val="0"/>
          <w:sz w:val="24"/>
        </w:rPr>
      </w:pPr>
      <w:r>
        <w:rPr>
          <w:rFonts w:hint="eastAsia" w:ascii="仿宋" w:hAnsi="仿宋" w:eastAsia="仿宋" w:cs="仿宋"/>
          <w:color w:val="000000"/>
          <w:kern w:val="0"/>
          <w:sz w:val="24"/>
        </w:rPr>
        <w:t>（附：乙方报价表）</w:t>
      </w:r>
    </w:p>
    <w:bookmarkEnd w:id="164"/>
    <w:bookmarkEnd w:id="165"/>
    <w:bookmarkEnd w:id="166"/>
    <w:bookmarkEnd w:id="167"/>
    <w:bookmarkEnd w:id="168"/>
    <w:tbl>
      <w:tblPr>
        <w:tblStyle w:val="22"/>
        <w:tblpPr w:leftFromText="180" w:rightFromText="180" w:vertAnchor="text" w:horzAnchor="page" w:tblpX="1497" w:tblpY="482"/>
        <w:tblOverlap w:val="never"/>
        <w:tblW w:w="4802"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10"/>
        <w:gridCol w:w="4700"/>
      </w:tblGrid>
      <w:tr w14:paraId="7582C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1" w:hRule="atLeast"/>
        </w:trPr>
        <w:tc>
          <w:tcPr>
            <w:tcW w:w="2503" w:type="pct"/>
            <w:tcBorders>
              <w:top w:val="single" w:color="auto" w:sz="4" w:space="0"/>
              <w:left w:val="single" w:color="auto" w:sz="4" w:space="0"/>
              <w:bottom w:val="single" w:color="auto" w:sz="4" w:space="0"/>
              <w:right w:val="single" w:color="auto" w:sz="4" w:space="0"/>
            </w:tcBorders>
            <w:noWrap/>
            <w:vAlign w:val="top"/>
          </w:tcPr>
          <w:p w14:paraId="39C808F3">
            <w:pPr>
              <w:spacing w:line="360" w:lineRule="auto"/>
              <w:rPr>
                <w:rFonts w:hint="eastAsia" w:ascii="仿宋" w:hAnsi="仿宋" w:eastAsia="仿宋" w:cs="仿宋"/>
                <w:sz w:val="24"/>
              </w:rPr>
            </w:pPr>
            <w:r>
              <w:rPr>
                <w:rFonts w:hint="eastAsia" w:ascii="仿宋" w:hAnsi="仿宋" w:eastAsia="仿宋" w:cs="仿宋"/>
                <w:sz w:val="24"/>
              </w:rPr>
              <w:t xml:space="preserve">甲方（盖章）：富顺县中医医院 </w:t>
            </w:r>
          </w:p>
          <w:p w14:paraId="2C62E4AB">
            <w:pPr>
              <w:spacing w:line="360" w:lineRule="auto"/>
              <w:rPr>
                <w:rFonts w:hint="eastAsia" w:ascii="仿宋" w:hAnsi="仿宋" w:eastAsia="仿宋" w:cs="仿宋"/>
                <w:sz w:val="24"/>
              </w:rPr>
            </w:pPr>
            <w:r>
              <w:rPr>
                <w:rFonts w:hint="eastAsia" w:ascii="仿宋" w:hAnsi="仿宋" w:eastAsia="仿宋" w:cs="仿宋"/>
                <w:sz w:val="24"/>
              </w:rPr>
              <w:t>甲方代表（签字）：</w:t>
            </w:r>
          </w:p>
          <w:p w14:paraId="7BDD176A">
            <w:pPr>
              <w:spacing w:line="360" w:lineRule="auto"/>
              <w:rPr>
                <w:rFonts w:hint="eastAsia" w:ascii="仿宋" w:hAnsi="仿宋" w:eastAsia="仿宋" w:cs="仿宋"/>
                <w:sz w:val="24"/>
              </w:rPr>
            </w:pPr>
            <w:r>
              <w:rPr>
                <w:rFonts w:hint="eastAsia" w:ascii="仿宋" w:hAnsi="仿宋" w:eastAsia="仿宋" w:cs="仿宋"/>
                <w:sz w:val="24"/>
              </w:rPr>
              <w:t xml:space="preserve">地址：富顺县东湖大道1801号 </w:t>
            </w:r>
          </w:p>
          <w:p w14:paraId="3F5A5FB5">
            <w:pPr>
              <w:spacing w:line="360" w:lineRule="auto"/>
              <w:rPr>
                <w:rFonts w:hint="eastAsia" w:ascii="仿宋" w:hAnsi="仿宋" w:eastAsia="仿宋" w:cs="仿宋"/>
                <w:sz w:val="24"/>
              </w:rPr>
            </w:pPr>
            <w:r>
              <w:rPr>
                <w:rFonts w:hint="eastAsia" w:ascii="仿宋" w:hAnsi="仿宋" w:eastAsia="仿宋" w:cs="仿宋"/>
                <w:sz w:val="24"/>
              </w:rPr>
              <w:t>电话：0813-5197655</w:t>
            </w:r>
          </w:p>
          <w:p w14:paraId="1D98D7F5">
            <w:pPr>
              <w:spacing w:line="360" w:lineRule="auto"/>
              <w:rPr>
                <w:rFonts w:hint="eastAsia" w:ascii="仿宋" w:hAnsi="仿宋" w:eastAsia="仿宋" w:cs="仿宋"/>
                <w:sz w:val="24"/>
              </w:rPr>
            </w:pPr>
            <w:r>
              <w:rPr>
                <w:rFonts w:hint="eastAsia" w:ascii="仿宋" w:hAnsi="仿宋" w:eastAsia="仿宋" w:cs="仿宋"/>
                <w:sz w:val="24"/>
              </w:rPr>
              <w:t>开户银行：四川富顺农村商业银行股份有限公司营业部</w:t>
            </w:r>
          </w:p>
          <w:p w14:paraId="55137989">
            <w:pPr>
              <w:spacing w:line="360" w:lineRule="auto"/>
              <w:rPr>
                <w:rFonts w:hint="eastAsia" w:ascii="仿宋" w:hAnsi="仿宋" w:eastAsia="仿宋" w:cs="仿宋"/>
                <w:sz w:val="24"/>
              </w:rPr>
            </w:pPr>
            <w:r>
              <w:rPr>
                <w:rFonts w:hint="eastAsia" w:ascii="仿宋" w:hAnsi="仿宋" w:eastAsia="仿宋" w:cs="仿宋"/>
                <w:sz w:val="24"/>
              </w:rPr>
              <w:t>开户帐号：11820120000037316</w:t>
            </w:r>
          </w:p>
          <w:p w14:paraId="61485E20">
            <w:pPr>
              <w:spacing w:line="360" w:lineRule="auto"/>
              <w:rPr>
                <w:rFonts w:hint="eastAsia" w:ascii="仿宋" w:hAnsi="仿宋" w:eastAsia="仿宋" w:cs="仿宋"/>
                <w:sz w:val="24"/>
              </w:rPr>
            </w:pPr>
            <w:r>
              <w:rPr>
                <w:rFonts w:hint="eastAsia" w:ascii="仿宋" w:hAnsi="仿宋" w:eastAsia="仿宋" w:cs="仿宋"/>
                <w:sz w:val="24"/>
              </w:rPr>
              <w:t>日期：   年   月   日</w:t>
            </w:r>
          </w:p>
        </w:tc>
        <w:tc>
          <w:tcPr>
            <w:tcW w:w="2496" w:type="pct"/>
            <w:tcBorders>
              <w:top w:val="single" w:color="auto" w:sz="4" w:space="0"/>
              <w:left w:val="single" w:color="auto" w:sz="4" w:space="0"/>
              <w:bottom w:val="single" w:color="auto" w:sz="4" w:space="0"/>
              <w:right w:val="single" w:color="auto" w:sz="4" w:space="0"/>
            </w:tcBorders>
            <w:noWrap/>
            <w:vAlign w:val="top"/>
          </w:tcPr>
          <w:p w14:paraId="64C37740">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乙方（盖章）： </w:t>
            </w:r>
          </w:p>
          <w:p w14:paraId="38012E56">
            <w:pPr>
              <w:spacing w:line="360" w:lineRule="auto"/>
              <w:ind w:firstLine="480" w:firstLineChars="200"/>
              <w:rPr>
                <w:rFonts w:hint="eastAsia" w:ascii="仿宋" w:hAnsi="仿宋" w:eastAsia="仿宋" w:cs="仿宋"/>
                <w:sz w:val="24"/>
              </w:rPr>
            </w:pPr>
            <w:r>
              <w:rPr>
                <w:rFonts w:hint="eastAsia" w:ascii="仿宋" w:hAnsi="仿宋" w:eastAsia="仿宋" w:cs="仿宋"/>
                <w:sz w:val="24"/>
              </w:rPr>
              <w:t>乙方代表（签字）：</w:t>
            </w:r>
          </w:p>
          <w:p w14:paraId="40EC0736">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地址： </w:t>
            </w:r>
          </w:p>
          <w:p w14:paraId="55C11095">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电话： </w:t>
            </w:r>
          </w:p>
          <w:p w14:paraId="5BA60C48">
            <w:pPr>
              <w:spacing w:line="360" w:lineRule="auto"/>
              <w:ind w:firstLine="480" w:firstLineChars="200"/>
              <w:rPr>
                <w:rFonts w:hint="eastAsia" w:ascii="仿宋" w:hAnsi="仿宋" w:eastAsia="仿宋" w:cs="仿宋"/>
                <w:sz w:val="24"/>
              </w:rPr>
            </w:pPr>
            <w:r>
              <w:rPr>
                <w:rFonts w:hint="eastAsia" w:ascii="仿宋" w:hAnsi="仿宋" w:eastAsia="仿宋" w:cs="仿宋"/>
                <w:sz w:val="24"/>
              </w:rPr>
              <w:t>开户银行：</w:t>
            </w:r>
          </w:p>
          <w:p w14:paraId="12628C6D">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开户帐号： </w:t>
            </w:r>
          </w:p>
          <w:p w14:paraId="535BA2E0">
            <w:pPr>
              <w:spacing w:line="360" w:lineRule="auto"/>
              <w:ind w:firstLine="480" w:firstLineChars="200"/>
              <w:rPr>
                <w:rFonts w:hint="eastAsia" w:ascii="仿宋" w:hAnsi="仿宋" w:eastAsia="仿宋" w:cs="仿宋"/>
                <w:sz w:val="24"/>
              </w:rPr>
            </w:pPr>
            <w:r>
              <w:rPr>
                <w:rFonts w:hint="eastAsia" w:ascii="仿宋" w:hAnsi="仿宋" w:eastAsia="仿宋" w:cs="仿宋"/>
                <w:sz w:val="24"/>
              </w:rPr>
              <w:t>日期：   年    月   日</w:t>
            </w:r>
          </w:p>
        </w:tc>
      </w:tr>
    </w:tbl>
    <w:p w14:paraId="1A404178">
      <w:pPr>
        <w:spacing w:line="360" w:lineRule="auto"/>
        <w:jc w:val="center"/>
        <w:outlineLvl w:val="0"/>
        <w:rPr>
          <w:rFonts w:hint="eastAsia" w:ascii="仿宋" w:hAnsi="仿宋" w:eastAsia="仿宋" w:cs="仿宋"/>
          <w:b/>
          <w:bCs/>
          <w:sz w:val="24"/>
          <w:szCs w:val="24"/>
          <w:highlight w:val="none"/>
        </w:rPr>
      </w:pPr>
      <w:r>
        <w:rPr>
          <w:rFonts w:hint="eastAsia" w:ascii="仿宋" w:hAnsi="仿宋" w:eastAsia="仿宋" w:cs="仿宋"/>
          <w:sz w:val="24"/>
          <w:szCs w:val="24"/>
          <w:highlight w:val="none"/>
        </w:rPr>
        <w:br w:type="page"/>
      </w:r>
      <w:r>
        <w:rPr>
          <w:rFonts w:hint="eastAsia" w:ascii="仿宋" w:hAnsi="仿宋" w:eastAsia="仿宋" w:cs="仿宋"/>
          <w:b/>
          <w:bCs/>
          <w:sz w:val="36"/>
          <w:szCs w:val="36"/>
          <w:highlight w:val="none"/>
        </w:rPr>
        <w:t>第九章 附件</w:t>
      </w:r>
      <w:bookmarkEnd w:id="169"/>
    </w:p>
    <w:p w14:paraId="36AD86F4">
      <w:pPr>
        <w:spacing w:before="312" w:beforeLines="100" w:line="360" w:lineRule="auto"/>
        <w:jc w:val="left"/>
        <w:outlineLvl w:val="1"/>
        <w:rPr>
          <w:rFonts w:hint="eastAsia" w:ascii="仿宋" w:hAnsi="仿宋" w:eastAsia="仿宋" w:cs="仿宋"/>
          <w:b/>
          <w:sz w:val="28"/>
          <w:szCs w:val="28"/>
          <w:highlight w:val="none"/>
        </w:rPr>
      </w:pPr>
      <w:bookmarkStart w:id="174" w:name="_Toc1844"/>
      <w:bookmarkStart w:id="175" w:name="_Toc6522"/>
      <w:bookmarkStart w:id="176" w:name="_Toc23165"/>
      <w:r>
        <w:rPr>
          <w:rFonts w:hint="eastAsia" w:ascii="仿宋" w:hAnsi="仿宋" w:eastAsia="仿宋" w:cs="仿宋"/>
          <w:b/>
          <w:bCs/>
          <w:kern w:val="44"/>
          <w:sz w:val="28"/>
          <w:szCs w:val="28"/>
          <w:highlight w:val="none"/>
        </w:rPr>
        <w:t xml:space="preserve">附件1 </w:t>
      </w:r>
      <w:r>
        <w:rPr>
          <w:rFonts w:hint="eastAsia" w:ascii="仿宋" w:hAnsi="仿宋" w:eastAsia="仿宋" w:cs="仿宋"/>
          <w:b/>
          <w:sz w:val="28"/>
          <w:szCs w:val="28"/>
          <w:highlight w:val="none"/>
        </w:rPr>
        <w:t>投标人报名登记表</w:t>
      </w:r>
      <w:bookmarkEnd w:id="174"/>
      <w:bookmarkEnd w:id="175"/>
      <w:bookmarkEnd w:id="176"/>
    </w:p>
    <w:p w14:paraId="77FE187B">
      <w:pPr>
        <w:spacing w:line="360" w:lineRule="auto"/>
        <w:jc w:val="center"/>
        <w:rPr>
          <w:rFonts w:hint="eastAsia" w:ascii="仿宋" w:hAnsi="仿宋" w:eastAsia="仿宋" w:cs="仿宋"/>
          <w:b/>
          <w:sz w:val="28"/>
          <w:szCs w:val="28"/>
          <w:highlight w:val="none"/>
        </w:rPr>
      </w:pPr>
      <w:r>
        <w:rPr>
          <w:rFonts w:hint="eastAsia" w:ascii="仿宋" w:hAnsi="仿宋" w:eastAsia="仿宋" w:cs="仿宋"/>
          <w:b/>
          <w:bCs/>
          <w:sz w:val="28"/>
          <w:szCs w:val="28"/>
          <w:highlight w:val="none"/>
        </w:rPr>
        <w:t>投标人报名登记表</w:t>
      </w:r>
    </w:p>
    <w:tbl>
      <w:tblPr>
        <w:tblStyle w:val="22"/>
        <w:tblW w:w="9612" w:type="dxa"/>
        <w:tblInd w:w="0" w:type="dxa"/>
        <w:tblLayout w:type="fixed"/>
        <w:tblCellMar>
          <w:top w:w="15" w:type="dxa"/>
          <w:left w:w="15" w:type="dxa"/>
          <w:bottom w:w="15" w:type="dxa"/>
          <w:right w:w="15" w:type="dxa"/>
        </w:tblCellMar>
      </w:tblPr>
      <w:tblGrid>
        <w:gridCol w:w="2590"/>
        <w:gridCol w:w="7022"/>
      </w:tblGrid>
      <w:tr w14:paraId="2636BCCA">
        <w:tblPrEx>
          <w:tblCellMar>
            <w:top w:w="15" w:type="dxa"/>
            <w:left w:w="15" w:type="dxa"/>
            <w:bottom w:w="15" w:type="dxa"/>
            <w:right w:w="15" w:type="dxa"/>
          </w:tblCellMar>
        </w:tblPrEx>
        <w:trPr>
          <w:trHeight w:val="605" w:hRule="atLeast"/>
        </w:trPr>
        <w:tc>
          <w:tcPr>
            <w:tcW w:w="2590" w:type="dxa"/>
            <w:tcBorders>
              <w:top w:val="single" w:color="auto" w:sz="4" w:space="0"/>
              <w:left w:val="single" w:color="auto" w:sz="4" w:space="0"/>
              <w:bottom w:val="single" w:color="auto" w:sz="4" w:space="0"/>
              <w:right w:val="single" w:color="auto" w:sz="4" w:space="0"/>
            </w:tcBorders>
            <w:vAlign w:val="center"/>
          </w:tcPr>
          <w:p w14:paraId="236BF987">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项目编号(必填）</w:t>
            </w:r>
          </w:p>
        </w:tc>
        <w:tc>
          <w:tcPr>
            <w:tcW w:w="7022" w:type="dxa"/>
            <w:tcBorders>
              <w:top w:val="single" w:color="auto" w:sz="4" w:space="0"/>
              <w:left w:val="single" w:color="auto" w:sz="4" w:space="0"/>
              <w:bottom w:val="single" w:color="auto" w:sz="4" w:space="0"/>
              <w:right w:val="single" w:color="auto" w:sz="4" w:space="0"/>
            </w:tcBorders>
            <w:vAlign w:val="center"/>
          </w:tcPr>
          <w:p w14:paraId="276D15EF">
            <w:pPr>
              <w:widowControl/>
              <w:spacing w:line="360" w:lineRule="auto"/>
              <w:jc w:val="left"/>
              <w:textAlignment w:val="center"/>
              <w:rPr>
                <w:rFonts w:hint="eastAsia" w:ascii="仿宋" w:hAnsi="仿宋" w:eastAsia="仿宋" w:cs="仿宋"/>
                <w:sz w:val="24"/>
                <w:szCs w:val="24"/>
                <w:highlight w:val="none"/>
                <w:lang w:bidi="ar"/>
              </w:rPr>
            </w:pPr>
          </w:p>
        </w:tc>
      </w:tr>
      <w:tr w14:paraId="159EA0A4">
        <w:tblPrEx>
          <w:tblCellMar>
            <w:top w:w="15" w:type="dxa"/>
            <w:left w:w="15" w:type="dxa"/>
            <w:bottom w:w="15" w:type="dxa"/>
            <w:right w:w="15" w:type="dxa"/>
          </w:tblCellMar>
        </w:tblPrEx>
        <w:trPr>
          <w:trHeight w:val="635" w:hRule="atLeast"/>
        </w:trPr>
        <w:tc>
          <w:tcPr>
            <w:tcW w:w="2590" w:type="dxa"/>
            <w:tcBorders>
              <w:top w:val="single" w:color="auto" w:sz="4" w:space="0"/>
              <w:left w:val="single" w:color="auto" w:sz="4" w:space="0"/>
              <w:bottom w:val="single" w:color="000000" w:sz="4" w:space="0"/>
              <w:right w:val="single" w:color="auto" w:sz="4" w:space="0"/>
            </w:tcBorders>
            <w:vAlign w:val="center"/>
          </w:tcPr>
          <w:p w14:paraId="78CE07E6">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项目名称(必填）</w:t>
            </w:r>
          </w:p>
        </w:tc>
        <w:tc>
          <w:tcPr>
            <w:tcW w:w="7022" w:type="dxa"/>
            <w:tcBorders>
              <w:top w:val="single" w:color="auto" w:sz="4" w:space="0"/>
              <w:left w:val="single" w:color="auto" w:sz="4" w:space="0"/>
              <w:bottom w:val="single" w:color="000000" w:sz="4" w:space="0"/>
              <w:right w:val="single" w:color="auto" w:sz="4" w:space="0"/>
            </w:tcBorders>
            <w:vAlign w:val="center"/>
          </w:tcPr>
          <w:p w14:paraId="087F7803">
            <w:pPr>
              <w:widowControl/>
              <w:spacing w:line="360" w:lineRule="auto"/>
              <w:jc w:val="left"/>
              <w:textAlignment w:val="center"/>
              <w:rPr>
                <w:rFonts w:hint="eastAsia" w:ascii="仿宋" w:hAnsi="仿宋" w:eastAsia="仿宋" w:cs="仿宋"/>
                <w:sz w:val="24"/>
                <w:szCs w:val="24"/>
                <w:highlight w:val="none"/>
                <w:lang w:bidi="ar"/>
              </w:rPr>
            </w:pPr>
          </w:p>
        </w:tc>
      </w:tr>
      <w:tr w14:paraId="4811F4DC">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auto" w:sz="4" w:space="0"/>
            </w:tcBorders>
            <w:vAlign w:val="center"/>
          </w:tcPr>
          <w:p w14:paraId="39129A5B">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单位名称(必填）</w:t>
            </w:r>
          </w:p>
        </w:tc>
        <w:tc>
          <w:tcPr>
            <w:tcW w:w="7022" w:type="dxa"/>
            <w:tcBorders>
              <w:top w:val="single" w:color="000000" w:sz="4" w:space="0"/>
              <w:left w:val="single" w:color="auto" w:sz="4" w:space="0"/>
              <w:bottom w:val="single" w:color="000000" w:sz="4" w:space="0"/>
              <w:right w:val="single" w:color="000000" w:sz="4" w:space="0"/>
            </w:tcBorders>
            <w:vAlign w:val="center"/>
          </w:tcPr>
          <w:p w14:paraId="60B055F1">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（加盖公章）</w:t>
            </w:r>
          </w:p>
        </w:tc>
      </w:tr>
      <w:tr w14:paraId="13F68406">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14:paraId="621EA519">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单位地址(必填）</w:t>
            </w:r>
          </w:p>
        </w:tc>
        <w:tc>
          <w:tcPr>
            <w:tcW w:w="7022" w:type="dxa"/>
            <w:tcBorders>
              <w:top w:val="single" w:color="000000" w:sz="4" w:space="0"/>
              <w:left w:val="single" w:color="000000" w:sz="4" w:space="0"/>
              <w:bottom w:val="single" w:color="000000" w:sz="4" w:space="0"/>
              <w:right w:val="single" w:color="000000" w:sz="4" w:space="0"/>
            </w:tcBorders>
            <w:vAlign w:val="bottom"/>
          </w:tcPr>
          <w:p w14:paraId="6127CE1F">
            <w:pPr>
              <w:spacing w:line="360" w:lineRule="auto"/>
              <w:rPr>
                <w:rFonts w:hint="eastAsia" w:ascii="仿宋" w:hAnsi="仿宋" w:eastAsia="仿宋" w:cs="仿宋"/>
                <w:sz w:val="24"/>
                <w:szCs w:val="24"/>
                <w:highlight w:val="none"/>
              </w:rPr>
            </w:pPr>
          </w:p>
        </w:tc>
      </w:tr>
      <w:tr w14:paraId="2432A93B">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14:paraId="6DC2E16E">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购买文件时间(必填）</w:t>
            </w:r>
          </w:p>
        </w:tc>
        <w:tc>
          <w:tcPr>
            <w:tcW w:w="7022" w:type="dxa"/>
            <w:tcBorders>
              <w:top w:val="single" w:color="000000" w:sz="4" w:space="0"/>
              <w:left w:val="single" w:color="000000" w:sz="4" w:space="0"/>
              <w:bottom w:val="single" w:color="000000" w:sz="4" w:space="0"/>
              <w:right w:val="single" w:color="000000" w:sz="4" w:space="0"/>
            </w:tcBorders>
            <w:vAlign w:val="bottom"/>
          </w:tcPr>
          <w:p w14:paraId="3D726818">
            <w:pPr>
              <w:spacing w:line="360" w:lineRule="auto"/>
              <w:rPr>
                <w:rFonts w:hint="eastAsia" w:ascii="仿宋" w:hAnsi="仿宋" w:eastAsia="仿宋" w:cs="仿宋"/>
                <w:sz w:val="24"/>
                <w:szCs w:val="24"/>
                <w:highlight w:val="none"/>
              </w:rPr>
            </w:pPr>
          </w:p>
        </w:tc>
      </w:tr>
      <w:tr w14:paraId="53D1B129">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14:paraId="3B13BA56">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包件号(必填）</w:t>
            </w:r>
          </w:p>
        </w:tc>
        <w:tc>
          <w:tcPr>
            <w:tcW w:w="7022" w:type="dxa"/>
            <w:tcBorders>
              <w:top w:val="single" w:color="000000" w:sz="4" w:space="0"/>
              <w:left w:val="single" w:color="000000" w:sz="4" w:space="0"/>
              <w:bottom w:val="single" w:color="000000" w:sz="4" w:space="0"/>
              <w:right w:val="single" w:color="000000" w:sz="4" w:space="0"/>
            </w:tcBorders>
            <w:vAlign w:val="bottom"/>
          </w:tcPr>
          <w:p w14:paraId="4BBE1194">
            <w:pPr>
              <w:spacing w:line="360" w:lineRule="auto"/>
              <w:rPr>
                <w:rFonts w:hint="eastAsia" w:ascii="仿宋" w:hAnsi="仿宋" w:eastAsia="仿宋" w:cs="仿宋"/>
                <w:sz w:val="24"/>
                <w:szCs w:val="24"/>
                <w:highlight w:val="none"/>
              </w:rPr>
            </w:pPr>
          </w:p>
        </w:tc>
      </w:tr>
      <w:tr w14:paraId="190DA6D6">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14:paraId="4D1CEB5A">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联系人(必填）</w:t>
            </w:r>
          </w:p>
        </w:tc>
        <w:tc>
          <w:tcPr>
            <w:tcW w:w="7022" w:type="dxa"/>
            <w:tcBorders>
              <w:top w:val="single" w:color="000000" w:sz="4" w:space="0"/>
              <w:left w:val="single" w:color="000000" w:sz="4" w:space="0"/>
              <w:bottom w:val="single" w:color="000000" w:sz="4" w:space="0"/>
              <w:right w:val="single" w:color="000000" w:sz="4" w:space="0"/>
            </w:tcBorders>
            <w:vAlign w:val="bottom"/>
          </w:tcPr>
          <w:p w14:paraId="6E6C1920">
            <w:pPr>
              <w:spacing w:line="360" w:lineRule="auto"/>
              <w:rPr>
                <w:rFonts w:hint="eastAsia" w:ascii="仿宋" w:hAnsi="仿宋" w:eastAsia="仿宋" w:cs="仿宋"/>
                <w:sz w:val="24"/>
                <w:szCs w:val="24"/>
                <w:highlight w:val="none"/>
              </w:rPr>
            </w:pPr>
          </w:p>
        </w:tc>
      </w:tr>
      <w:tr w14:paraId="00E73147">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14:paraId="1E4B4C86">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单位固定电话</w:t>
            </w:r>
          </w:p>
        </w:tc>
        <w:tc>
          <w:tcPr>
            <w:tcW w:w="7022" w:type="dxa"/>
            <w:tcBorders>
              <w:top w:val="single" w:color="000000" w:sz="4" w:space="0"/>
              <w:left w:val="single" w:color="000000" w:sz="4" w:space="0"/>
              <w:bottom w:val="single" w:color="000000" w:sz="4" w:space="0"/>
              <w:right w:val="single" w:color="000000" w:sz="4" w:space="0"/>
            </w:tcBorders>
            <w:vAlign w:val="bottom"/>
          </w:tcPr>
          <w:p w14:paraId="5F9DD503">
            <w:pPr>
              <w:spacing w:line="360" w:lineRule="auto"/>
              <w:rPr>
                <w:rFonts w:hint="eastAsia" w:ascii="仿宋" w:hAnsi="仿宋" w:eastAsia="仿宋" w:cs="仿宋"/>
                <w:sz w:val="24"/>
                <w:szCs w:val="24"/>
                <w:highlight w:val="none"/>
              </w:rPr>
            </w:pPr>
          </w:p>
        </w:tc>
      </w:tr>
      <w:tr w14:paraId="73A192C3">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14:paraId="13668222">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经办人移动电话(必填）</w:t>
            </w:r>
          </w:p>
        </w:tc>
        <w:tc>
          <w:tcPr>
            <w:tcW w:w="7022" w:type="dxa"/>
            <w:tcBorders>
              <w:top w:val="single" w:color="000000" w:sz="4" w:space="0"/>
              <w:left w:val="single" w:color="000000" w:sz="4" w:space="0"/>
              <w:bottom w:val="single" w:color="000000" w:sz="4" w:space="0"/>
              <w:right w:val="single" w:color="000000" w:sz="4" w:space="0"/>
            </w:tcBorders>
            <w:vAlign w:val="bottom"/>
          </w:tcPr>
          <w:p w14:paraId="7D0D827A">
            <w:pPr>
              <w:spacing w:line="360" w:lineRule="auto"/>
              <w:rPr>
                <w:rFonts w:hint="eastAsia" w:ascii="仿宋" w:hAnsi="仿宋" w:eastAsia="仿宋" w:cs="仿宋"/>
                <w:sz w:val="24"/>
                <w:szCs w:val="24"/>
                <w:highlight w:val="none"/>
              </w:rPr>
            </w:pPr>
          </w:p>
        </w:tc>
      </w:tr>
      <w:tr w14:paraId="4778028A">
        <w:tblPrEx>
          <w:tblCellMar>
            <w:top w:w="15" w:type="dxa"/>
            <w:left w:w="15" w:type="dxa"/>
            <w:bottom w:w="15" w:type="dxa"/>
            <w:right w:w="15" w:type="dxa"/>
          </w:tblCellMar>
        </w:tblPrEx>
        <w:trPr>
          <w:trHeight w:val="705" w:hRule="atLeast"/>
        </w:trPr>
        <w:tc>
          <w:tcPr>
            <w:tcW w:w="2590" w:type="dxa"/>
            <w:tcBorders>
              <w:top w:val="single" w:color="000000" w:sz="4" w:space="0"/>
              <w:left w:val="single" w:color="000000" w:sz="4" w:space="0"/>
              <w:bottom w:val="single" w:color="000000" w:sz="4" w:space="0"/>
              <w:right w:val="single" w:color="000000" w:sz="4" w:space="0"/>
            </w:tcBorders>
            <w:vAlign w:val="center"/>
          </w:tcPr>
          <w:p w14:paraId="7CAB1E70">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单位传真</w:t>
            </w:r>
          </w:p>
        </w:tc>
        <w:tc>
          <w:tcPr>
            <w:tcW w:w="7022" w:type="dxa"/>
            <w:tcBorders>
              <w:top w:val="single" w:color="000000" w:sz="4" w:space="0"/>
              <w:left w:val="single" w:color="000000" w:sz="4" w:space="0"/>
              <w:bottom w:val="single" w:color="000000" w:sz="4" w:space="0"/>
              <w:right w:val="single" w:color="000000" w:sz="4" w:space="0"/>
            </w:tcBorders>
            <w:vAlign w:val="bottom"/>
          </w:tcPr>
          <w:p w14:paraId="639C18EE">
            <w:pPr>
              <w:spacing w:line="360" w:lineRule="auto"/>
              <w:rPr>
                <w:rFonts w:hint="eastAsia" w:ascii="仿宋" w:hAnsi="仿宋" w:eastAsia="仿宋" w:cs="仿宋"/>
                <w:sz w:val="24"/>
                <w:szCs w:val="24"/>
                <w:highlight w:val="none"/>
              </w:rPr>
            </w:pPr>
          </w:p>
        </w:tc>
      </w:tr>
      <w:tr w14:paraId="053148C3">
        <w:tblPrEx>
          <w:tblCellMar>
            <w:top w:w="15" w:type="dxa"/>
            <w:left w:w="15" w:type="dxa"/>
            <w:bottom w:w="15" w:type="dxa"/>
            <w:right w:w="15" w:type="dxa"/>
          </w:tblCellMar>
        </w:tblPrEx>
        <w:trPr>
          <w:trHeight w:val="665" w:hRule="atLeast"/>
        </w:trPr>
        <w:tc>
          <w:tcPr>
            <w:tcW w:w="2590" w:type="dxa"/>
            <w:tcBorders>
              <w:top w:val="single" w:color="000000" w:sz="4" w:space="0"/>
              <w:left w:val="single" w:color="000000" w:sz="4" w:space="0"/>
              <w:bottom w:val="single" w:color="000000" w:sz="4" w:space="0"/>
              <w:right w:val="single" w:color="000000" w:sz="4" w:space="0"/>
            </w:tcBorders>
            <w:vAlign w:val="center"/>
          </w:tcPr>
          <w:p w14:paraId="6F269660">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电子邮箱(必填）</w:t>
            </w:r>
          </w:p>
        </w:tc>
        <w:tc>
          <w:tcPr>
            <w:tcW w:w="7022" w:type="dxa"/>
            <w:tcBorders>
              <w:top w:val="single" w:color="000000" w:sz="4" w:space="0"/>
              <w:left w:val="single" w:color="000000" w:sz="4" w:space="0"/>
              <w:bottom w:val="single" w:color="000000" w:sz="4" w:space="0"/>
              <w:right w:val="single" w:color="000000" w:sz="4" w:space="0"/>
            </w:tcBorders>
            <w:vAlign w:val="bottom"/>
          </w:tcPr>
          <w:p w14:paraId="30B55414">
            <w:pPr>
              <w:spacing w:line="360" w:lineRule="auto"/>
              <w:rPr>
                <w:rFonts w:hint="eastAsia" w:ascii="仿宋" w:hAnsi="仿宋" w:eastAsia="仿宋" w:cs="仿宋"/>
                <w:sz w:val="24"/>
                <w:szCs w:val="24"/>
                <w:highlight w:val="none"/>
              </w:rPr>
            </w:pPr>
          </w:p>
        </w:tc>
      </w:tr>
      <w:tr w14:paraId="112CA19F">
        <w:tblPrEx>
          <w:tblCellMar>
            <w:top w:w="15" w:type="dxa"/>
            <w:left w:w="15" w:type="dxa"/>
            <w:bottom w:w="15" w:type="dxa"/>
            <w:right w:w="15" w:type="dxa"/>
          </w:tblCellMar>
        </w:tblPrEx>
        <w:trPr>
          <w:trHeight w:val="615" w:hRule="atLeast"/>
        </w:trPr>
        <w:tc>
          <w:tcPr>
            <w:tcW w:w="2590" w:type="dxa"/>
            <w:tcBorders>
              <w:top w:val="single" w:color="000000" w:sz="4" w:space="0"/>
              <w:left w:val="single" w:color="000000" w:sz="4" w:space="0"/>
              <w:bottom w:val="single" w:color="000000" w:sz="4" w:space="0"/>
              <w:right w:val="single" w:color="000000" w:sz="4" w:space="0"/>
            </w:tcBorders>
            <w:vAlign w:val="center"/>
          </w:tcPr>
          <w:p w14:paraId="54176EA5">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备    注</w:t>
            </w:r>
          </w:p>
        </w:tc>
        <w:tc>
          <w:tcPr>
            <w:tcW w:w="7022" w:type="dxa"/>
            <w:tcBorders>
              <w:top w:val="single" w:color="000000" w:sz="4" w:space="0"/>
              <w:left w:val="single" w:color="000000" w:sz="4" w:space="0"/>
              <w:bottom w:val="single" w:color="000000" w:sz="4" w:space="0"/>
              <w:right w:val="single" w:color="000000" w:sz="4" w:space="0"/>
            </w:tcBorders>
            <w:vAlign w:val="bottom"/>
          </w:tcPr>
          <w:p w14:paraId="4B176A90">
            <w:pPr>
              <w:spacing w:line="360" w:lineRule="auto"/>
              <w:rPr>
                <w:rFonts w:hint="eastAsia" w:ascii="仿宋" w:hAnsi="仿宋" w:eastAsia="仿宋" w:cs="仿宋"/>
                <w:sz w:val="24"/>
                <w:szCs w:val="24"/>
                <w:highlight w:val="none"/>
              </w:rPr>
            </w:pPr>
          </w:p>
        </w:tc>
      </w:tr>
    </w:tbl>
    <w:p w14:paraId="7D4DF6B7">
      <w:pPr>
        <w:spacing w:before="312" w:beforeLines="100" w:line="360" w:lineRule="auto"/>
        <w:ind w:firstLine="361" w:firstLineChars="150"/>
        <w:rPr>
          <w:rFonts w:hint="eastAsia" w:ascii="仿宋" w:hAnsi="仿宋" w:eastAsia="仿宋" w:cs="仿宋"/>
          <w:sz w:val="24"/>
          <w:szCs w:val="24"/>
          <w:highlight w:val="none"/>
        </w:rPr>
      </w:pPr>
      <w:r>
        <w:rPr>
          <w:rFonts w:hint="eastAsia" w:ascii="仿宋" w:hAnsi="仿宋" w:eastAsia="仿宋" w:cs="仿宋"/>
          <w:b/>
          <w:sz w:val="24"/>
          <w:szCs w:val="24"/>
          <w:highlight w:val="none"/>
        </w:rPr>
        <w:t xml:space="preserve"> 注：</w:t>
      </w:r>
      <w:r>
        <w:rPr>
          <w:rFonts w:hint="eastAsia" w:ascii="仿宋" w:hAnsi="仿宋" w:eastAsia="仿宋" w:cs="仿宋"/>
          <w:sz w:val="24"/>
          <w:szCs w:val="24"/>
          <w:highlight w:val="none"/>
        </w:rPr>
        <w:t>采用邮购联系方式的投标人请将报名资料电子版传至</w:t>
      </w:r>
      <w:r>
        <w:rPr>
          <w:rFonts w:hint="eastAsia" w:ascii="仿宋" w:hAnsi="仿宋" w:eastAsia="仿宋" w:cs="仿宋"/>
          <w:color w:val="FF0000"/>
          <w:sz w:val="24"/>
          <w:szCs w:val="24"/>
          <w:highlight w:val="none"/>
          <w:lang w:val="zh-CN"/>
        </w:rPr>
        <w:t xml:space="preserve">766107639@qq.com </w:t>
      </w:r>
      <w:r>
        <w:rPr>
          <w:rFonts w:hint="eastAsia" w:ascii="仿宋" w:hAnsi="仿宋" w:eastAsia="仿宋" w:cs="仿宋"/>
          <w:color w:val="auto"/>
          <w:sz w:val="24"/>
          <w:highlight w:val="none"/>
          <w:lang w:eastAsia="zh-CN"/>
        </w:rPr>
        <w:t xml:space="preserve"> </w:t>
      </w:r>
      <w:r>
        <w:rPr>
          <w:rFonts w:hint="eastAsia" w:ascii="仿宋" w:hAnsi="仿宋" w:eastAsia="仿宋" w:cs="仿宋"/>
          <w:sz w:val="24"/>
          <w:szCs w:val="24"/>
          <w:highlight w:val="none"/>
        </w:rPr>
        <w:t xml:space="preserve"> ，联系电话：</w:t>
      </w:r>
      <w:r>
        <w:rPr>
          <w:rFonts w:hint="eastAsia" w:ascii="仿宋" w:hAnsi="仿宋" w:eastAsia="仿宋" w:cs="仿宋"/>
          <w:bCs/>
          <w:color w:val="auto"/>
          <w:sz w:val="24"/>
          <w:highlight w:val="none"/>
          <w:lang w:val="zh-CN"/>
        </w:rPr>
        <w:t>0813-</w:t>
      </w:r>
      <w:r>
        <w:rPr>
          <w:rFonts w:hint="eastAsia" w:ascii="仿宋" w:hAnsi="仿宋" w:eastAsia="仿宋" w:cs="仿宋"/>
          <w:bCs/>
          <w:color w:val="auto"/>
          <w:sz w:val="24"/>
          <w:highlight w:val="none"/>
          <w:lang w:val="en-US" w:eastAsia="zh-CN"/>
        </w:rPr>
        <w:t>8288814</w:t>
      </w:r>
      <w:r>
        <w:rPr>
          <w:rFonts w:hint="eastAsia" w:ascii="仿宋" w:hAnsi="仿宋" w:eastAsia="仿宋" w:cs="仿宋"/>
          <w:bCs/>
          <w:color w:val="auto"/>
          <w:sz w:val="24"/>
          <w:highlight w:val="none"/>
          <w:lang w:val="zh-CN"/>
        </w:rPr>
        <w:t xml:space="preserve"> </w:t>
      </w:r>
      <w:r>
        <w:rPr>
          <w:rFonts w:hint="eastAsia" w:ascii="仿宋" w:hAnsi="仿宋" w:eastAsia="仿宋" w:cs="仿宋"/>
          <w:sz w:val="24"/>
          <w:szCs w:val="24"/>
          <w:highlight w:val="none"/>
        </w:rPr>
        <w:t>。</w:t>
      </w:r>
    </w:p>
    <w:p w14:paraId="30C2ECE4">
      <w:pPr>
        <w:spacing w:line="360" w:lineRule="auto"/>
        <w:rPr>
          <w:rFonts w:hint="eastAsia" w:ascii="仿宋" w:hAnsi="仿宋" w:eastAsia="仿宋" w:cs="仿宋"/>
          <w:sz w:val="24"/>
          <w:szCs w:val="24"/>
          <w:highlight w:val="none"/>
        </w:rPr>
      </w:pPr>
    </w:p>
    <w:p w14:paraId="522BB87B">
      <w:pPr>
        <w:spacing w:line="360" w:lineRule="auto"/>
        <w:rPr>
          <w:rFonts w:hint="eastAsia" w:ascii="仿宋" w:hAnsi="仿宋" w:eastAsia="仿宋" w:cs="仿宋"/>
          <w:b/>
          <w:bCs/>
          <w:sz w:val="24"/>
          <w:szCs w:val="24"/>
          <w:highlight w:val="none"/>
        </w:rPr>
        <w:sectPr>
          <w:pgSz w:w="11850" w:h="16783"/>
          <w:pgMar w:top="1417" w:right="1134" w:bottom="1417" w:left="1134" w:header="851" w:footer="992" w:gutter="0"/>
          <w:cols w:space="0" w:num="1"/>
          <w:docGrid w:type="lines" w:linePitch="312" w:charSpace="0"/>
        </w:sectPr>
      </w:pPr>
    </w:p>
    <w:tbl>
      <w:tblPr>
        <w:tblStyle w:val="22"/>
        <w:tblW w:w="137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8"/>
        <w:gridCol w:w="12951"/>
      </w:tblGrid>
      <w:tr w14:paraId="0AD7C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7" w:hRule="atLeast"/>
        </w:trPr>
        <w:tc>
          <w:tcPr>
            <w:tcW w:w="768" w:type="dxa"/>
            <w:tcBorders>
              <w:top w:val="nil"/>
              <w:left w:val="nil"/>
              <w:bottom w:val="nil"/>
              <w:right w:val="nil"/>
            </w:tcBorders>
            <w:shd w:val="clear" w:color="auto" w:fill="FFFFFF"/>
            <w:noWrap/>
            <w:vAlign w:val="center"/>
          </w:tcPr>
          <w:p w14:paraId="679E561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w:t>
            </w:r>
          </w:p>
        </w:tc>
        <w:tc>
          <w:tcPr>
            <w:tcW w:w="12951" w:type="dxa"/>
            <w:tcBorders>
              <w:top w:val="nil"/>
              <w:left w:val="nil"/>
              <w:bottom w:val="nil"/>
              <w:right w:val="nil"/>
            </w:tcBorders>
            <w:shd w:val="clear" w:color="auto" w:fill="FFFFFF"/>
            <w:noWrap/>
            <w:vAlign w:val="center"/>
          </w:tcPr>
          <w:p w14:paraId="0BD7B4D6">
            <w:pPr>
              <w:keepNext w:val="0"/>
              <w:keepLines w:val="0"/>
              <w:widowControl/>
              <w:suppressLineNumbers w:val="0"/>
              <w:jc w:val="both"/>
              <w:textAlignment w:val="center"/>
              <w:rPr>
                <w:rFonts w:hint="eastAsia"/>
                <w:lang w:val="en-US" w:eastAsia="zh-CN"/>
              </w:rPr>
            </w:pPr>
            <w:r>
              <w:rPr>
                <w:rFonts w:hint="eastAsia"/>
                <w:lang w:val="en-US" w:eastAsia="zh-CN"/>
              </w:rPr>
              <w:t>附件2：富顺县中医医院2025年第三批医疗耗材采购明细</w:t>
            </w:r>
          </w:p>
          <w:tbl>
            <w:tblPr>
              <w:tblStyle w:val="22"/>
              <w:tblW w:w="12640" w:type="dxa"/>
              <w:tblInd w:w="-2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
              <w:gridCol w:w="643"/>
              <w:gridCol w:w="1947"/>
              <w:gridCol w:w="719"/>
              <w:gridCol w:w="828"/>
              <w:gridCol w:w="1098"/>
              <w:gridCol w:w="1298"/>
              <w:gridCol w:w="648"/>
              <w:gridCol w:w="575"/>
              <w:gridCol w:w="865"/>
              <w:gridCol w:w="4014"/>
            </w:tblGrid>
            <w:tr w14:paraId="5C2F8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264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36EB2">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骨科耗材类(第一包）</w:t>
                  </w:r>
                </w:p>
              </w:tc>
            </w:tr>
            <w:tr w14:paraId="2B6B9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2CC0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85009">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名称</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21F9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FB84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数量</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2F3B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价格（元）</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C858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总金额（元）</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8F9F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挂网情况</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E17A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进口产品情况</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6F44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D165F">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要求</w:t>
                  </w:r>
                </w:p>
              </w:tc>
            </w:tr>
            <w:tr w14:paraId="43E76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172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0318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脊柱内固定器（连接块）</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48A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6C6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E44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9420.00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AA1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131880.00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57F6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148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3B43F">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B21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1、微创脊柱内固定器长度22mm-26mm，宽度8.5mm-9.5mm，可通过的通道宽度为10mm，镜下高度可调范围8-13mm。2、骨科发展脊柱微创手术需要耗材，提供跟台服务人员及配套手术器械</w:t>
                  </w:r>
                </w:p>
              </w:tc>
            </w:tr>
            <w:tr w14:paraId="6A9B6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1AF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F118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一次性无菌微创脊柱钻头</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278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832A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8E7A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8000.00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B1C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69C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4E0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E1F12">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241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1、钻头长度280mm，直径3.5mm，转速为20000-6000r/min 2、开展微创脊柱外科手术，提供跟台服务人员及配套手术器械</w:t>
                  </w:r>
                </w:p>
              </w:tc>
            </w:tr>
            <w:tr w14:paraId="37E68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D64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C984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一次性射频等离子体手术电极</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4A8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D390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8BAB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3143.00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BAAD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6286.00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C05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060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D33F2">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999B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1、角度为30°，长度88mm、刀头可伸缩8mm，外径1.6mm,输出频率100K-500KHZ    2、开展UBE单侧双通道技术使用  3、接口适配医院射频等离子体手术系统，品牌美创</w:t>
                  </w:r>
                </w:p>
              </w:tc>
            </w:tr>
            <w:tr w14:paraId="76AE7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70E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9015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一次性射频等离子体手术电极</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310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D6E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BB1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3980.00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644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7960.00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661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641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25EA1">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7C95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1、角度为50°，长度135mm、外径4.0mm，输出频率100K-500KHZ   2、开展UBE单侧双通道技术使用 3、 3、接口适配医院射频等离子体手术系统，品牌美创</w:t>
                  </w:r>
                </w:p>
              </w:tc>
            </w:tr>
            <w:tr w14:paraId="19D81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6B13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54EB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一次性无菌磨钻头</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668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81B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391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6500.00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DC1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13000.00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647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DCB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09CAD">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B1D4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1、钻头长度110mm，磨钻头直径4.0mm，刀杆直径4.5，钻头形式用球形金刚砂，输出转数为120000r/min   2、开展UBE单侧双通道技术使用，提供跟台服务人员及配套手术器械</w:t>
                  </w:r>
                </w:p>
              </w:tc>
            </w:tr>
            <w:tr w14:paraId="42368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1D4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A95D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驱血止血弹性束紧套环</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985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179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7F5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1380.00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03E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41400.00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EA5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4A1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D931D">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0BC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1、适合肢体维度14cm-85cm 2、用于手术时止血</w:t>
                  </w:r>
                </w:p>
              </w:tc>
            </w:tr>
            <w:tr w14:paraId="0361E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80E5C">
                  <w:pPr>
                    <w:jc w:val="center"/>
                    <w:rPr>
                      <w:rFonts w:hint="eastAsia" w:ascii="宋体" w:hAnsi="宋体" w:eastAsia="宋体" w:cs="宋体"/>
                      <w:i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623D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4A645">
                  <w:pPr>
                    <w:jc w:val="center"/>
                    <w:rPr>
                      <w:rFonts w:hint="eastAsia" w:ascii="宋体" w:hAnsi="宋体" w:eastAsia="宋体" w:cs="宋体"/>
                      <w:i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0D3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F01D6">
                  <w:pPr>
                    <w:jc w:val="center"/>
                    <w:rPr>
                      <w:rFonts w:hint="eastAsia" w:ascii="宋体" w:hAnsi="宋体" w:eastAsia="宋体" w:cs="宋体"/>
                      <w:i w:val="0"/>
                      <w:color w:val="000000"/>
                      <w:sz w:val="18"/>
                      <w:szCs w:val="18"/>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E304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200526.00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6F98E">
                  <w:pPr>
                    <w:jc w:val="center"/>
                    <w:rPr>
                      <w:rFonts w:hint="eastAsia" w:ascii="宋体" w:hAnsi="宋体" w:eastAsia="宋体" w:cs="宋体"/>
                      <w:i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5E61E">
                  <w:pPr>
                    <w:jc w:val="center"/>
                    <w:rPr>
                      <w:rFonts w:hint="eastAsia" w:ascii="宋体" w:hAnsi="宋体" w:eastAsia="宋体" w:cs="宋体"/>
                      <w:i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67035">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FF10C">
                  <w:pPr>
                    <w:jc w:val="left"/>
                    <w:rPr>
                      <w:rFonts w:hint="eastAsia" w:ascii="宋体" w:hAnsi="宋体" w:eastAsia="宋体" w:cs="宋体"/>
                      <w:i w:val="0"/>
                      <w:color w:val="000000"/>
                      <w:sz w:val="18"/>
                      <w:szCs w:val="18"/>
                      <w:u w:val="none"/>
                    </w:rPr>
                  </w:pPr>
                </w:p>
              </w:tc>
            </w:tr>
            <w:tr w14:paraId="03D2F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264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C3DD6">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心电电极类(第二包）</w:t>
                  </w:r>
                </w:p>
              </w:tc>
            </w:tr>
            <w:tr w14:paraId="73FFC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4DF3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E2CAD">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名称</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CEC6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9B00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数量</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BD00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价格（元）</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F919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总金额（元）</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9CF9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挂网情况</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26E0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进口产品情况</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428F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18B78">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要求</w:t>
                  </w:r>
                </w:p>
              </w:tc>
            </w:tr>
            <w:tr w14:paraId="56769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E29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17B4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一次性使用心电电极</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CCD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887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75AC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F8C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108000.00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2DDF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399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27D0BC">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859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适配医院无创血流动力学检测仪使用，型号：Bioz-satandard品牌麦德安。由海绵基衬、电极扣、电极蓬和导电胶组成</w:t>
                  </w:r>
                </w:p>
              </w:tc>
            </w:tr>
            <w:tr w14:paraId="7B616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C9966">
                  <w:pPr>
                    <w:jc w:val="center"/>
                    <w:rPr>
                      <w:rFonts w:hint="eastAsia" w:ascii="宋体" w:hAnsi="宋体" w:eastAsia="宋体" w:cs="宋体"/>
                      <w:i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BB1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9BCCB">
                  <w:pPr>
                    <w:jc w:val="center"/>
                    <w:rPr>
                      <w:rFonts w:hint="eastAsia" w:ascii="宋体" w:hAnsi="宋体" w:eastAsia="宋体" w:cs="宋体"/>
                      <w:i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370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48DB4">
                  <w:pPr>
                    <w:jc w:val="center"/>
                    <w:rPr>
                      <w:rFonts w:hint="eastAsia" w:ascii="宋体" w:hAnsi="宋体" w:eastAsia="宋体" w:cs="宋体"/>
                      <w:i w:val="0"/>
                      <w:color w:val="000000"/>
                      <w:sz w:val="18"/>
                      <w:szCs w:val="18"/>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66B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108000.00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655AA">
                  <w:pPr>
                    <w:jc w:val="center"/>
                    <w:rPr>
                      <w:rFonts w:hint="eastAsia" w:ascii="宋体" w:hAnsi="宋体" w:eastAsia="宋体" w:cs="宋体"/>
                      <w:i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BDD99">
                  <w:pPr>
                    <w:jc w:val="center"/>
                    <w:rPr>
                      <w:rFonts w:hint="eastAsia" w:ascii="宋体" w:hAnsi="宋体" w:eastAsia="宋体" w:cs="宋体"/>
                      <w:i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9CFB7">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F121D">
                  <w:pPr>
                    <w:jc w:val="left"/>
                    <w:rPr>
                      <w:rFonts w:hint="eastAsia" w:ascii="宋体" w:hAnsi="宋体" w:eastAsia="宋体" w:cs="宋体"/>
                      <w:i w:val="0"/>
                      <w:color w:val="000000"/>
                      <w:sz w:val="18"/>
                      <w:szCs w:val="18"/>
                      <w:u w:val="none"/>
                    </w:rPr>
                  </w:pPr>
                </w:p>
              </w:tc>
            </w:tr>
            <w:tr w14:paraId="6E91B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264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A49FF">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置管类耗材(第三包）</w:t>
                  </w:r>
                </w:p>
              </w:tc>
            </w:tr>
            <w:tr w14:paraId="0750C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DECF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555E6">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名称</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B8F6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4201B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数量</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2BAF8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价格（元）</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50278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总金额（元）</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74D7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挂网情况</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AF07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进口产品情况</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EFCF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F7588">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要求</w:t>
                  </w:r>
                </w:p>
              </w:tc>
            </w:tr>
            <w:tr w14:paraId="26429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2F53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34CD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一次性使用密闭式吸痰管</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6C7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935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F00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74.87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863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14974.00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306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5BDC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10993A">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E5BA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使用过程中吸氧不中断，6Fr-16Fr/密闭式，由病人端单元(包括接口套、四通、阀体座、清洗单元、滑板、旋转接头、旋转接头套、密封垫、前嘴锁母、前嘴、密封套、卡箍)、吸痰管单元(包括吸痰管、薄膜)、机器端单元(包括后嘴、新弹簧、底座帽芯、座体帽、新管座体、底盖、黑色密封套)组成</w:t>
                  </w:r>
                </w:p>
              </w:tc>
            </w:tr>
            <w:tr w14:paraId="0B3A5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022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B2C4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一次性使用麻醉呼吸机管路</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CC4B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29F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09C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24.98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231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999.20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217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A01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28F9C">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F05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用于吸痰不用断开呼吸机，保证通气支持的连续性，伸缩型，产品由螺纹管、集水杯、气囊、病人接口及机器接口、气体采样口、气体监测口组成。</w:t>
                  </w:r>
                </w:p>
              </w:tc>
            </w:tr>
            <w:tr w14:paraId="419D6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003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7A47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一次性使用植入式给药装置专用针</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FD3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F6EC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9D1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75.00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A036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1950.00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BA6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CF9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C02D6A">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892E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用于成立输液港病人进行每月一次的静脉导管维护和治疗使用，大小（0.7-0.9）*（16-25），产品是由针管、保护套、针柄、软管、Y注射件、止流夹、连接座(针座)、保护帽选配组成。分专用注射针和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专用输液针</w:t>
                  </w:r>
                </w:p>
              </w:tc>
            </w:tr>
            <w:tr w14:paraId="165BD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8F8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9C1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一次性使用无菌护理包</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7E0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12D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8C3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20.80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FCA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124.80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894A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1F8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06CB74">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0CAA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1、开展PICC和输液港专科护士换药 2、要求配置有敷贴（创面型）、治疗巾、手套、碘伏棉签、酒精棉签、纱布、酒精消毒棉片</w:t>
                  </w:r>
                </w:p>
              </w:tc>
            </w:tr>
            <w:tr w14:paraId="148C3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FAB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BF5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经外周插管的中心静脉导管套件及附件</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925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1C4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E17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1800.00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26D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72000.00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8B1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866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B0394">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3225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腔PICC/4Fr，本产品包括单腔导管、帶穿刺针的导引套管、连接件、固定翼、护帽和Statlock导管固定器（VPPDFP）部分型号包括微插管器(含导丝、穿刺针、PTFE微导入器和刀片)。导管材质为硅胶，穿刺针和导丝的材质为304不锈钢，微导入器的材质为聚四氟乙烯，固定翼的材质为硅胶，导引套管的材质为低密度聚乙烯和聚碳酸酯。</w:t>
                  </w:r>
                </w:p>
              </w:tc>
            </w:tr>
            <w:tr w14:paraId="23020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D4C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6160D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中心静脉导管 单腔</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C10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BBAD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038F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177.96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DD8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6D4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3FF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DBCFC">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FC08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单腔16G</w:t>
                  </w:r>
                </w:p>
              </w:tc>
            </w:tr>
            <w:tr w14:paraId="0ACEC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F24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ABFB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一次性使用经外周置入中心静脉导管套装</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8D0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BCA1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62D4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900.00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B2C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1800.00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16BA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B84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552AB">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D22E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3Fr/30cm</w:t>
                  </w:r>
                </w:p>
              </w:tc>
            </w:tr>
            <w:tr w14:paraId="2C1CA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C69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7C69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医用胶</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0D7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B8A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21A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333.00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A8A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13320.00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823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9B07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2640A">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160B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1、用于神经外科止血，脑膜粘合 ，</w:t>
                  </w:r>
                  <w:r>
                    <w:rPr>
                      <w:rFonts w:ascii="微软雅黑" w:hAnsi="微软雅黑" w:eastAsia="微软雅黑" w:cs="微软雅黑"/>
                      <w:i w:val="0"/>
                      <w:color w:val="000000"/>
                      <w:kern w:val="0"/>
                      <w:sz w:val="18"/>
                      <w:szCs w:val="18"/>
                      <w:u w:val="none"/>
                      <w:lang w:val="en-US" w:eastAsia="zh-CN" w:bidi="ar"/>
                    </w:rPr>
                    <w:t>1ml/支</w:t>
                  </w:r>
                </w:p>
              </w:tc>
            </w:tr>
            <w:tr w14:paraId="7DDE7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5E992">
                  <w:pPr>
                    <w:jc w:val="center"/>
                    <w:rPr>
                      <w:rFonts w:hint="eastAsia" w:ascii="宋体" w:hAnsi="宋体" w:eastAsia="宋体" w:cs="宋体"/>
                      <w:i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0F17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C275F">
                  <w:pPr>
                    <w:jc w:val="center"/>
                    <w:rPr>
                      <w:rFonts w:hint="eastAsia" w:ascii="宋体" w:hAnsi="宋体" w:eastAsia="宋体" w:cs="宋体"/>
                      <w:i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007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354</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EA0CE">
                  <w:pPr>
                    <w:jc w:val="center"/>
                    <w:rPr>
                      <w:rFonts w:hint="eastAsia" w:ascii="宋体" w:hAnsi="宋体" w:eastAsia="宋体" w:cs="宋体"/>
                      <w:i w:val="0"/>
                      <w:color w:val="000000"/>
                      <w:sz w:val="18"/>
                      <w:szCs w:val="18"/>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37A8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105168.00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775A9">
                  <w:pPr>
                    <w:jc w:val="center"/>
                    <w:rPr>
                      <w:rFonts w:hint="eastAsia" w:ascii="宋体" w:hAnsi="宋体" w:eastAsia="宋体" w:cs="宋体"/>
                      <w:i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5015B">
                  <w:pPr>
                    <w:jc w:val="center"/>
                    <w:rPr>
                      <w:rFonts w:hint="eastAsia" w:ascii="宋体" w:hAnsi="宋体" w:eastAsia="宋体" w:cs="宋体"/>
                      <w:i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4C808">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CE2F4F">
                  <w:pPr>
                    <w:jc w:val="left"/>
                    <w:rPr>
                      <w:rFonts w:hint="eastAsia" w:ascii="宋体" w:hAnsi="宋体" w:eastAsia="宋体" w:cs="宋体"/>
                      <w:i w:val="0"/>
                      <w:color w:val="000000"/>
                      <w:sz w:val="18"/>
                      <w:szCs w:val="18"/>
                      <w:u w:val="none"/>
                    </w:rPr>
                  </w:pPr>
                </w:p>
              </w:tc>
            </w:tr>
            <w:tr w14:paraId="5E204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264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54FC2">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外科耗材类(第四包）</w:t>
                  </w:r>
                </w:p>
              </w:tc>
            </w:tr>
            <w:tr w14:paraId="18529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815B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D4688">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名称</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969E7">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0427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数量</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4C1B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价格（元）</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965E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总金额（元）</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EC97D">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挂网情况</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DAAD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进口产品情况</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9F92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4B4BC">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要求</w:t>
                  </w:r>
                </w:p>
              </w:tc>
            </w:tr>
            <w:tr w14:paraId="7A01F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6FE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77ADC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聚丙烯修补网（塞）</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E1E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019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C03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1050.00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889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25200.00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4E6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1C1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F0910">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1BFF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该产品由聚丙烯单丝编织而成，未经染色，为网塞型式.</w:t>
                  </w:r>
                </w:p>
              </w:tc>
            </w:tr>
            <w:tr w14:paraId="3A4DA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059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7681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可吸收止血结扎夹</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689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A1AA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98E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196.00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737E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70560.00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971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4D0C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E0D74">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9339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可吸收止血结扎夹由内卡、外卡、外套、活塞四个部分组成，其中内卡和外卡为植入部分，外套和活塞辅助内卡和外卡植入体内。内卡由聚对二氧环己酮制成，外卡由聚乙醇酸制成，外套和活塞由聚碳酸酯制成。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产品初包装为纸塑袋，其材质为PET/SPE复合膜和透析纸，产品经环氧乙烷灭菌,有效期24个月.</w:t>
                  </w:r>
                </w:p>
              </w:tc>
            </w:tr>
            <w:tr w14:paraId="5664B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736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FD76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带线荷包缝合针</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18C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546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329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59.64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F66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119.28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2C6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BE5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85A01">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E09F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带线荷包缝合针由两根缝针（圆直针）、一根缝线组成，缝线采用聚酰胺6或聚酰胺6/6材料制成，缝针的长度为66mm，缝线为0号.</w:t>
                  </w:r>
                </w:p>
              </w:tc>
            </w:tr>
            <w:tr w14:paraId="03667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8A9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E710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透析导管</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2AD1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434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0FD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2100.00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4F8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25200.00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587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140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4967A">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7D8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适用于血液透析、血液灌流或血浆分离透析治疗时，建立血管通路。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14.5F，导管长度19cm、23cm、27cm、31cm、35cm可选；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导管的材料为聚氨酯，具备长期使用的强度；</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流量最高可达500ml/min;</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带有阀血管鞘，可有效防止空气栓塞及出血过多；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在隧道部位提供非常好的柔韧性，便于植入.</w:t>
                  </w:r>
                </w:p>
              </w:tc>
            </w:tr>
            <w:tr w14:paraId="71892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2D5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4125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一次性活检针</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4FB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8C2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2A4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539.75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85E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10795.00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32B6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38B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9DC4E">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993B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1.穿刺针针管外径×穿刺针针管有效长度： 16g(1.6mm)×16cm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2.1材料：穿刺针：304不锈钢/针芯：304不锈钢/针头接口：聚碳酸酯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衬垫：聚丙烯均聚物/针套：低密度聚乙烯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2.2一次性活检针由手柄和活检针组成，手柄由树脂和热塑性弹性体构成，活检针由304不锈钢穿刺针和同心套筒组成。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2.3套筒上有厘米刻度标识。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2.4手柄旁侧和后部的传动按钮按照不同的规格大小用不同颜色标出。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3.用于获得肝、肾、前列腺、脾、淋巴结和各软组织瘤的活检组织.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大小14G-20G</w:t>
                  </w:r>
                </w:p>
              </w:tc>
            </w:tr>
            <w:tr w14:paraId="24CD8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8E0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76EC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一次性使用腹腔穿刺器</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843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41D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799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350.00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5F4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7000.00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234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07B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8AF208">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51A8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由穿刺套管和穿刺芯组成，1支/盒，5cm：穿刺芯外径(D)：5.8±0.8</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穿刺套管长度(L)：102±2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穿刺套管内径(d)：6.4±0.2   10cm：穿刺芯外径(D)：10.8±0.8</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穿刺套管长度(L)：102±2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穿刺套管内径(d)：11.4±0.2  12cm：穿刺芯外径(D)：12.8±0.8</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穿刺套管长度(L)：102±2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穿刺套管内径(d)：13.4±0.2</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长度5cm/10cm/12cm</w:t>
                  </w:r>
                </w:p>
              </w:tc>
            </w:tr>
            <w:tr w14:paraId="51EB6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9BD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1F35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一次性组织闭合夹</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10D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枚</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CAC4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390F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11D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420.00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2A6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BD6C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C7E43">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08CF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由一次性使用组织闭合夹由结扎锁、固定盖和底座组成，结扎锁的材料为 POM，固定盖和底座的材料为 ABS。/L号/M号/S号，2枚装</w:t>
                  </w:r>
                </w:p>
              </w:tc>
            </w:tr>
            <w:tr w14:paraId="753CB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9DCAC">
                  <w:pPr>
                    <w:jc w:val="center"/>
                    <w:rPr>
                      <w:rFonts w:hint="eastAsia" w:ascii="宋体" w:hAnsi="宋体" w:eastAsia="宋体" w:cs="宋体"/>
                      <w:i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3BF6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E9ED7">
                  <w:pPr>
                    <w:jc w:val="center"/>
                    <w:rPr>
                      <w:rFonts w:hint="eastAsia" w:ascii="宋体" w:hAnsi="宋体" w:eastAsia="宋体" w:cs="宋体"/>
                      <w:i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447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448</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38191">
                  <w:pPr>
                    <w:jc w:val="center"/>
                    <w:rPr>
                      <w:rFonts w:hint="eastAsia" w:ascii="宋体" w:hAnsi="宋体" w:eastAsia="宋体" w:cs="宋体"/>
                      <w:i w:val="0"/>
                      <w:color w:val="000000"/>
                      <w:sz w:val="18"/>
                      <w:szCs w:val="18"/>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D95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139294.28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EEA04">
                  <w:pPr>
                    <w:jc w:val="center"/>
                    <w:rPr>
                      <w:rFonts w:hint="eastAsia" w:ascii="宋体" w:hAnsi="宋体" w:eastAsia="宋体" w:cs="宋体"/>
                      <w:i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1290E">
                  <w:pPr>
                    <w:jc w:val="center"/>
                    <w:rPr>
                      <w:rFonts w:hint="eastAsia" w:ascii="宋体" w:hAnsi="宋体" w:eastAsia="宋体" w:cs="宋体"/>
                      <w:i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B958C">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AB4F0">
                  <w:pPr>
                    <w:jc w:val="left"/>
                    <w:rPr>
                      <w:rFonts w:hint="eastAsia" w:ascii="宋体" w:hAnsi="宋体" w:eastAsia="宋体" w:cs="宋体"/>
                      <w:i w:val="0"/>
                      <w:color w:val="000000"/>
                      <w:sz w:val="18"/>
                      <w:szCs w:val="18"/>
                      <w:u w:val="none"/>
                    </w:rPr>
                  </w:pPr>
                </w:p>
              </w:tc>
            </w:tr>
            <w:tr w14:paraId="35221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264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3FE77">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糖尿病耗材类(第五包）</w:t>
                  </w:r>
                </w:p>
              </w:tc>
            </w:tr>
            <w:tr w14:paraId="2533D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C985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40908">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名称</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2A740">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B3F6E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数量</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D53B4">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价格（元）</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9999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总金额（元）</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E8D2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挂网情况</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8486FB">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进口产品情况</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79D28">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07482">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要求</w:t>
                  </w:r>
                </w:p>
              </w:tc>
            </w:tr>
            <w:tr w14:paraId="10C95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507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BB98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一次性使用注射笔用用针头（BD胰岛素注射笔针头）</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2AE3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盒</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5A8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E69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25.20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2F05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110880.00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9FD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207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78744">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4463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产品由针座盖贴(初包装)、针座、外针帽(初包装)、内针帽和针管组成。/0.25mm(31G)*5mm* 注射笔用针头与注射笔配套用于药物皮下注射</w:t>
                  </w:r>
                </w:p>
              </w:tc>
            </w:tr>
            <w:tr w14:paraId="7B703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437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E765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一次性使用注射笔用针头（BD胰岛素注射笔针头）</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682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盒</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8D9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A71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37.80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0E4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45360.00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56D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57F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B0176">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DDB0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产品由针座盖贴(初包装)、针座、外针帽(初包装)、内针帽和针管组成。/0.25mm(32G)*5mm 注射笔用针头与注射笔配套用于药物皮下注射。</w:t>
                  </w:r>
                </w:p>
              </w:tc>
            </w:tr>
            <w:tr w14:paraId="62BF3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770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2100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胰岛素笔式注射器</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721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A04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B3C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163.00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A46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67E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9D2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455B0">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162C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由笔身、笔帽及笔芯架组成。本品不含笔芯及注射针。适配于我院珠海联邦品牌的胰岛素注射液</w:t>
                  </w:r>
                </w:p>
              </w:tc>
            </w:tr>
            <w:tr w14:paraId="4C81F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557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F180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胰岛素笔式数显注射器</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7A0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7C0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46A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197.69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52E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FDD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AFE8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F2320">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6B8A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胰岛素笔式数显注射器由笔帽、笔芯架和带有记忆功能的笔体组成，不含针头和笔芯，非无菌提供，适配于我院诺和诺德品牌的胰岛素注射液</w:t>
                  </w:r>
                </w:p>
              </w:tc>
            </w:tr>
            <w:tr w14:paraId="12687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C1FA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5B22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一次性使用冲洗袋</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F91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A025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87B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19.90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550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34E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CCDD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57E42">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CBA8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由加药塞、吊板、贮液袋、截流夹、导管、滴斗、流量调节器组成。3000ml</w:t>
                  </w:r>
                </w:p>
              </w:tc>
            </w:tr>
            <w:tr w14:paraId="7FCD0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C416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D16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半自动型活检针(附引导针)</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655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D0B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0BA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680.00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4DE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13600.00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96C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F86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D7C9D">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9048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内针、外针、针基、主体、外壳以及针保护套管组成，18G-130mm/导引针17G-115mm</w:t>
                  </w:r>
                </w:p>
              </w:tc>
            </w:tr>
            <w:tr w14:paraId="71C79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8C4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C57FB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壳聚糖凝胶</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45E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F7E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DD1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15.31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CB6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18372.00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64B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07A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3DE63">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A571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该产品由壳聚糖、卡波姆和水制成的水溶性凝胶及药用铝(塑)管或包装瓶(盒)组成。3g/支装</w:t>
                  </w:r>
                </w:p>
              </w:tc>
            </w:tr>
            <w:tr w14:paraId="516CA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5388D">
                  <w:pPr>
                    <w:jc w:val="center"/>
                    <w:rPr>
                      <w:rFonts w:hint="eastAsia" w:ascii="宋体" w:hAnsi="宋体" w:eastAsia="宋体" w:cs="宋体"/>
                      <w:i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10B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BA752">
                  <w:pPr>
                    <w:jc w:val="center"/>
                    <w:rPr>
                      <w:rFonts w:hint="eastAsia" w:ascii="宋体" w:hAnsi="宋体" w:eastAsia="宋体" w:cs="宋体"/>
                      <w:i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B6B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F7BEA">
                  <w:pPr>
                    <w:jc w:val="center"/>
                    <w:rPr>
                      <w:rFonts w:hint="eastAsia" w:ascii="宋体" w:hAnsi="宋体" w:eastAsia="宋体" w:cs="宋体"/>
                      <w:i w:val="0"/>
                      <w:color w:val="000000"/>
                      <w:sz w:val="18"/>
                      <w:szCs w:val="18"/>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24EA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188212.00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5E288">
                  <w:pPr>
                    <w:jc w:val="center"/>
                    <w:rPr>
                      <w:rFonts w:hint="eastAsia" w:ascii="宋体" w:hAnsi="宋体" w:eastAsia="宋体" w:cs="宋体"/>
                      <w:i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24F5A">
                  <w:pPr>
                    <w:jc w:val="center"/>
                    <w:rPr>
                      <w:rFonts w:hint="eastAsia" w:ascii="宋体" w:hAnsi="宋体" w:eastAsia="宋体" w:cs="宋体"/>
                      <w:i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07D9E">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35A91">
                  <w:pPr>
                    <w:jc w:val="left"/>
                    <w:rPr>
                      <w:rFonts w:hint="eastAsia" w:ascii="宋体" w:hAnsi="宋体" w:eastAsia="宋体" w:cs="宋体"/>
                      <w:i w:val="0"/>
                      <w:color w:val="000000"/>
                      <w:sz w:val="18"/>
                      <w:szCs w:val="18"/>
                      <w:u w:val="none"/>
                    </w:rPr>
                  </w:pPr>
                </w:p>
              </w:tc>
            </w:tr>
            <w:tr w14:paraId="7DE7D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264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C79C5">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lang w:val="en-US" w:eastAsia="zh-CN" w:bidi="ar"/>
                    </w:rPr>
                    <w:t>普通耗材类(第六包）</w:t>
                  </w:r>
                </w:p>
              </w:tc>
            </w:tr>
            <w:tr w14:paraId="3D0B2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251D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D6741">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名称</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2A8D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502F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数量</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A5E29">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价格（元）</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3F59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总金额（元）</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D8A43">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挂网情况</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BFFD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进口产品情况</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F152C">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12003E">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要求</w:t>
                  </w:r>
                </w:p>
              </w:tc>
            </w:tr>
            <w:tr w14:paraId="2C21C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382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64B61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浅表创面贴敷敷料</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CC41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贴</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605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CD4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D16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FED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FC1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01DA9B">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70F9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产品由甘油、卡波姆、聚丙烯酸钠、羟苯甲酯、山梨酸钾、氢氧化钠、纯化水、非织造布、聚丙烯保护层（临用前去除）及铝箔袋组成。6片/盒</w:t>
                  </w:r>
                </w:p>
              </w:tc>
            </w:tr>
            <w:tr w14:paraId="74A1E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641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962A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类人胶原蛋白敷料</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0AA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贴</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C68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CC5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25.18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2C37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120864.00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D07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CE0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1238B">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2202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重组I型人源化胶原蛋白原液（含有少量医用防腐剂和少量医用矫味剂）和无纺布组成./圆型、椭圆型、方型</w:t>
                  </w:r>
                </w:p>
              </w:tc>
            </w:tr>
            <w:tr w14:paraId="3D995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FB865">
                  <w:pPr>
                    <w:jc w:val="center"/>
                    <w:rPr>
                      <w:rFonts w:hint="eastAsia" w:ascii="宋体" w:hAnsi="宋体" w:eastAsia="宋体" w:cs="宋体"/>
                      <w:i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CA03A">
                  <w:pPr>
                    <w:jc w:val="left"/>
                    <w:rPr>
                      <w:rFonts w:hint="eastAsia" w:ascii="宋体" w:hAnsi="宋体" w:eastAsia="宋体" w:cs="宋体"/>
                      <w:i w:val="0"/>
                      <w:color w:val="000000"/>
                      <w:sz w:val="18"/>
                      <w:szCs w:val="18"/>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CEDB2F">
                  <w:pPr>
                    <w:jc w:val="center"/>
                    <w:rPr>
                      <w:rFonts w:hint="eastAsia" w:ascii="宋体" w:hAnsi="宋体" w:eastAsia="宋体" w:cs="宋体"/>
                      <w:i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8FE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05025">
                  <w:pPr>
                    <w:jc w:val="center"/>
                    <w:rPr>
                      <w:rFonts w:hint="eastAsia" w:ascii="宋体" w:hAnsi="宋体" w:eastAsia="宋体" w:cs="宋体"/>
                      <w:i w:val="0"/>
                      <w:color w:val="000000"/>
                      <w:sz w:val="18"/>
                      <w:szCs w:val="18"/>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5AB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120864.00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66D6D">
                  <w:pPr>
                    <w:jc w:val="center"/>
                    <w:rPr>
                      <w:rFonts w:hint="eastAsia" w:ascii="宋体" w:hAnsi="宋体" w:eastAsia="宋体" w:cs="宋体"/>
                      <w:i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2F272">
                  <w:pPr>
                    <w:jc w:val="center"/>
                    <w:rPr>
                      <w:rFonts w:hint="eastAsia" w:ascii="宋体" w:hAnsi="宋体" w:eastAsia="宋体" w:cs="宋体"/>
                      <w:i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B17A8">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F3C84">
                  <w:pPr>
                    <w:jc w:val="left"/>
                    <w:rPr>
                      <w:rFonts w:hint="eastAsia" w:ascii="宋体" w:hAnsi="宋体" w:eastAsia="宋体" w:cs="宋体"/>
                      <w:i w:val="0"/>
                      <w:color w:val="000000"/>
                      <w:sz w:val="18"/>
                      <w:szCs w:val="18"/>
                      <w:u w:val="none"/>
                    </w:rPr>
                  </w:pPr>
                </w:p>
              </w:tc>
            </w:tr>
            <w:tr w14:paraId="2BC36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2640"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D82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FF0000"/>
                      <w:kern w:val="0"/>
                      <w:sz w:val="18"/>
                      <w:szCs w:val="18"/>
                      <w:u w:val="none"/>
                      <w:lang w:val="en-US" w:eastAsia="zh-CN" w:bidi="ar"/>
                    </w:rPr>
                    <w:t>泌尿外科类耗材(第七包）</w:t>
                  </w:r>
                </w:p>
              </w:tc>
            </w:tr>
            <w:tr w14:paraId="09914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ADA3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447C37">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名称</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A28E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792115">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数量</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049CF">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价格（元）</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B8882">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总金额</w:t>
                  </w:r>
                  <w:bookmarkStart w:id="177" w:name="_GoBack"/>
                  <w:bookmarkEnd w:id="177"/>
                  <w:r>
                    <w:rPr>
                      <w:rFonts w:hint="eastAsia" w:ascii="宋体" w:hAnsi="宋体" w:eastAsia="宋体" w:cs="宋体"/>
                      <w:b/>
                      <w:i w:val="0"/>
                      <w:color w:val="000000"/>
                      <w:kern w:val="0"/>
                      <w:sz w:val="18"/>
                      <w:szCs w:val="18"/>
                      <w:u w:val="none"/>
                      <w:lang w:val="en-US" w:eastAsia="zh-CN" w:bidi="ar"/>
                    </w:rPr>
                    <w:t>（元）</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B7041">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挂网情况</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A6B5E">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进口产品情况</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72287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54604">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要求</w:t>
                  </w:r>
                </w:p>
              </w:tc>
            </w:tr>
            <w:tr w14:paraId="19EBF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E0A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E7F2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一次性使用输尿管引流管(注册证名：输尿管导管）</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282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5C9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95A3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8.00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1ED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8FB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666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52D51">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F855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1、适用于输尿管引流，逆行造影用。2、导管采用聚氯乙烯原材料。3、输尿管导管由导管、鲁尔接头、不锈钢丝组成。</w:t>
                  </w:r>
                </w:p>
              </w:tc>
            </w:tr>
            <w:tr w14:paraId="40393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17B8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E754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微创扩张引流套件</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249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3EF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901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380.00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5AA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760.00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12F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D2F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72D25">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BE15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1、微创扩张引流套件由扩张鞘、拨出鞘、引流管、导引针、导引钢丝组成。2、适用于肾石或肾积水病人经皮肾穿刺中使用。3、配置1扩1鞘。</w:t>
                  </w:r>
                </w:p>
              </w:tc>
            </w:tr>
            <w:tr w14:paraId="25BF6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71C8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BD62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微创扩张引流套件</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B396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D2E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B121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1544.00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73D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F77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C09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09CD3">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FD42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1、微创扩张引流套件由扩张鞘、拨出鞘、引流管、导引针、导引钢丝组成。2、适用于肾石或肾积水病人经皮肾穿刺中使用。3、配置6扩1鞘。</w:t>
                  </w:r>
                </w:p>
              </w:tc>
            </w:tr>
            <w:tr w14:paraId="6B623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466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481B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一次性使用泌尿道用导丝（注册证名：一次性使用非血管腔道导丝）</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3424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4E5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CF6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1000.00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E04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20000.00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79A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38E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E357E">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EF67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1、产品适用于内窥镜下与J型导管和微创扩张引流套件配套使用，起支撑、引导作用。2、产品由导丝芯、包塑层（涂层）和软头组成，斑马型。</w:t>
                  </w:r>
                </w:p>
              </w:tc>
            </w:tr>
            <w:tr w14:paraId="12B88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651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A980F">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导引针</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50F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5AD8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B73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160.00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CDB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320.00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E027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652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25022">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4B81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1、用于泌尿肛肠科手术中的探查、引流。2、c型导引针由针管、针芯、针座、护套管组成。</w:t>
                  </w:r>
                </w:p>
              </w:tc>
            </w:tr>
            <w:tr w14:paraId="252CD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6A7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114B4">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取石网篮</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7D1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FA2C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E22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1930.00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DD6B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108080.00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CB7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419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6866F9">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C5BC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1、产品用于内窥镜下捕获和取出输尿管结石。2、产品由网篮（镍钛合金丝）、鞘管（304不锈钢丝网、聚酰亚胺）和控制手柄（缩醛树脂）组成。</w:t>
                  </w:r>
                </w:p>
              </w:tc>
            </w:tr>
            <w:tr w14:paraId="10503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3F063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AC44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一次性使用输尿管支架（配助推管）（注册证名：J型导管）</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948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868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8C7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144.00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E25B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51840.00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126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8A4C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19354">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DE4B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1、产品适用于尿管支撑、引流用。2、J型导管管体采用聚氨酯材料制成，推管采用医用聚氯乙烯材料制成，导管钢丝采用不锈钢材质。</w:t>
                  </w:r>
                </w:p>
              </w:tc>
            </w:tr>
            <w:tr w14:paraId="2BAEA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7F95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EFFF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一次性使用无菌硅胶导尿管</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3CB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02A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980</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7D4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32.40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373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31752.00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92C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09E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836B9">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136A0">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1、产品适用于对患者作导尿时一次性使用。2、产品由引流接口、单向阀、管身、引流腔、球囊和引流侧孔组成。3、双腔各型号。</w:t>
                  </w:r>
                </w:p>
              </w:tc>
            </w:tr>
            <w:tr w14:paraId="647A8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64D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0B9EC">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一次性使用无菌硅胶导尿管</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D42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FB4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190</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B69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32.00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2EB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6080.00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C3F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9B76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6686F">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74E5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1、产品适用于对患者作导尿时一次性使用。2、产品由引流接口、单向阀、管身、引流腔、球囊和引流侧孔组成。3、三腔各型号。</w:t>
                  </w:r>
                </w:p>
              </w:tc>
            </w:tr>
            <w:tr w14:paraId="18A09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CA6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96735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一次性包皮环切吻合器（注册证名：一次性使用包皮环切吻合器）</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15D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把</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4A5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CB1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619.82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E67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112807.24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45C2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1B6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A9795D">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1799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产品由内环座组件、器身和附件组成。2、其中内环座组件包括内环座、钉砧、刀砧、中心丝杆，器身包括吻合钉、钉仓、钉筒、环形切刀、推钉片、辅片、壳体、把手、调节旋钮、保险装置，附件包括剥离棒，勾线针、保护罩。3、有多种型号。</w:t>
                  </w:r>
                </w:p>
              </w:tc>
            </w:tr>
            <w:tr w14:paraId="47E19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ECC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6BC21">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医用激光光纤</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EA4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2ED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5A0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6000.00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7D26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36000.00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578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4CA0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82F5D">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50C0E">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1.光纤适用的波长：375nm～2100nm。</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2.光纤最大传输功率：125W;光纤最小弯曲工作半径:80mm；光纤芯径:550μm、272μm、200μm等。                                                3.光纤抗拉强度：≥4.9N。</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4.光纤的接口类型：适配于我院Ho：YAG激光治疗机，型号SRM-H3B，品牌：上海瑞柯恩激光有限公司。</w:t>
                  </w:r>
                </w:p>
              </w:tc>
            </w:tr>
            <w:tr w14:paraId="2EB23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155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C24B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一次性使用电子输尿管肾盂内窥镜导管</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7EE1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01DE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8BDD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3500.00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208D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154000.00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02EE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8104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A409D">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57C9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1、产品由插入部、操作部（止液阀、吸引按钮、上下角度控制旋钮）和插头部组成。2、产品与本公司内窥镜图像处理装置配套使用。</w:t>
                  </w:r>
                </w:p>
              </w:tc>
            </w:tr>
            <w:tr w14:paraId="343EF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191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B66E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一次性活检针</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74A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F8A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480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750.00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0C6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76F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A083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EBF20">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927558">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活检针适用于获得肝、肾、前列腺、脾、淋巴结和软组织瘤的活检组织，不适用于骨骼。2、一次性活检针由手柄和活检针组成。3、手柄由树脂和热塑性弹性体构成，活检针由304不锈钢穿刺针和同心套管组成。4、套管上有厘米刻度标识。</w:t>
                  </w:r>
                </w:p>
              </w:tc>
            </w:tr>
            <w:tr w14:paraId="53CBF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9F6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1687E2">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超声血管导引穿刺套件</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F3E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C1D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CC33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120.00 </w:t>
                  </w: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A98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240.00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EB59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A53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是</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58318">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13FC6">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超声血管导引穿刺套件包括导针器、弹性圈、医用超声耦合剂和探头护罩4个组件。2、超声血管导引穿刺套件与带探头的site-rite超声系统一起使用对人体血管结构、各种器官和结构中定位超声导引，也可在手术中或经皮进行超声导引。</w:t>
                  </w:r>
                </w:p>
              </w:tc>
            </w:tr>
            <w:tr w14:paraId="1A884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49FE9">
                  <w:pPr>
                    <w:jc w:val="center"/>
                    <w:rPr>
                      <w:rFonts w:hint="eastAsia" w:ascii="宋体" w:hAnsi="宋体" w:eastAsia="宋体" w:cs="宋体"/>
                      <w:i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B45B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58C4C">
                  <w:pPr>
                    <w:jc w:val="center"/>
                    <w:rPr>
                      <w:rFonts w:hint="eastAsia" w:ascii="宋体" w:hAnsi="宋体" w:eastAsia="宋体" w:cs="宋体"/>
                      <w:i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6AF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1844</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4592A">
                  <w:pPr>
                    <w:jc w:val="center"/>
                    <w:rPr>
                      <w:rFonts w:hint="eastAsia" w:ascii="宋体" w:hAnsi="宋体" w:eastAsia="宋体" w:cs="宋体"/>
                      <w:i w:val="0"/>
                      <w:color w:val="000000"/>
                      <w:sz w:val="18"/>
                      <w:szCs w:val="18"/>
                      <w:u w:val="none"/>
                    </w:rPr>
                  </w:pPr>
                </w:p>
              </w:tc>
              <w:tc>
                <w:tcPr>
                  <w:tcW w:w="12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C67D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521879.24 </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7ECFE">
                  <w:pPr>
                    <w:jc w:val="center"/>
                    <w:rPr>
                      <w:rFonts w:hint="eastAsia" w:ascii="宋体" w:hAnsi="宋体" w:eastAsia="宋体" w:cs="宋体"/>
                      <w:i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DA73A0">
                  <w:pPr>
                    <w:jc w:val="center"/>
                    <w:rPr>
                      <w:rFonts w:hint="eastAsia" w:ascii="宋体" w:hAnsi="宋体" w:eastAsia="宋体" w:cs="宋体"/>
                      <w:i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048811">
                  <w:pPr>
                    <w:jc w:val="center"/>
                    <w:rPr>
                      <w:rFonts w:hint="eastAsia" w:ascii="宋体" w:hAnsi="宋体" w:eastAsia="宋体" w:cs="宋体"/>
                      <w:i w:val="0"/>
                      <w:color w:val="000000"/>
                      <w:sz w:val="18"/>
                      <w:szCs w:val="18"/>
                      <w:u w:val="none"/>
                    </w:rPr>
                  </w:pPr>
                </w:p>
              </w:tc>
              <w:tc>
                <w:tcPr>
                  <w:tcW w:w="40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8BB98">
                  <w:pPr>
                    <w:rPr>
                      <w:rFonts w:hint="eastAsia" w:ascii="宋体" w:hAnsi="宋体" w:eastAsia="宋体" w:cs="宋体"/>
                      <w:i w:val="0"/>
                      <w:color w:val="000000"/>
                      <w:sz w:val="22"/>
                      <w:szCs w:val="22"/>
                      <w:u w:val="none"/>
                    </w:rPr>
                  </w:pPr>
                </w:p>
              </w:tc>
            </w:tr>
            <w:tr w14:paraId="0A177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1DE4B">
                  <w:pPr>
                    <w:jc w:val="center"/>
                    <w:rPr>
                      <w:rFonts w:hint="eastAsia" w:ascii="宋体" w:hAnsi="宋体" w:eastAsia="宋体" w:cs="宋体"/>
                      <w:i w:val="0"/>
                      <w:color w:val="000000"/>
                      <w:sz w:val="18"/>
                      <w:szCs w:val="18"/>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06DD5">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F994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品种数</w:t>
                  </w:r>
                </w:p>
              </w:tc>
              <w:tc>
                <w:tcPr>
                  <w:tcW w:w="10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21453">
                  <w:pP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FFE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总金额：</w:t>
                  </w:r>
                </w:p>
              </w:tc>
              <w:tc>
                <w:tcPr>
                  <w:tcW w:w="1440"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44637F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138.394352万元</w:t>
                  </w:r>
                </w:p>
              </w:tc>
              <w:tc>
                <w:tcPr>
                  <w:tcW w:w="40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5BE09">
                  <w:pPr>
                    <w:jc w:val="center"/>
                    <w:rPr>
                      <w:rFonts w:hint="eastAsia" w:ascii="宋体" w:hAnsi="宋体" w:eastAsia="宋体" w:cs="宋体"/>
                      <w:i w:val="0"/>
                      <w:color w:val="000000"/>
                      <w:sz w:val="18"/>
                      <w:szCs w:val="18"/>
                      <w:u w:val="none"/>
                    </w:rPr>
                  </w:pPr>
                </w:p>
              </w:tc>
            </w:tr>
            <w:tr w14:paraId="205C3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5" w:type="dxa"/>
                <w:trHeight w:val="90" w:hRule="atLeast"/>
              </w:trPr>
              <w:tc>
                <w:tcPr>
                  <w:tcW w:w="12635" w:type="dxa"/>
                  <w:gridSpan w:val="10"/>
                  <w:tcBorders>
                    <w:top w:val="nil"/>
                    <w:left w:val="nil"/>
                    <w:bottom w:val="nil"/>
                    <w:right w:val="nil"/>
                  </w:tcBorders>
                  <w:shd w:val="clear" w:color="auto" w:fill="auto"/>
                  <w:tcMar>
                    <w:top w:w="15" w:type="dxa"/>
                    <w:left w:w="15" w:type="dxa"/>
                    <w:right w:w="15" w:type="dxa"/>
                  </w:tcMar>
                  <w:vAlign w:val="center"/>
                </w:tcPr>
                <w:p w14:paraId="238F3FC2">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bl>
          <w:p w14:paraId="46EC9676">
            <w:pPr>
              <w:pStyle w:val="2"/>
              <w:rPr>
                <w:rFonts w:hint="eastAsia"/>
              </w:rPr>
            </w:pPr>
          </w:p>
        </w:tc>
      </w:tr>
    </w:tbl>
    <w:p w14:paraId="2D2EAADA">
      <w:pPr>
        <w:pStyle w:val="2"/>
        <w:rPr>
          <w:rFonts w:hint="default" w:eastAsia="宋体"/>
          <w:lang w:val="en-US" w:eastAsia="zh-CN"/>
        </w:rPr>
        <w:sectPr>
          <w:pgSz w:w="16783" w:h="11850" w:orient="landscape"/>
          <w:pgMar w:top="1134" w:right="1417" w:bottom="1134" w:left="1417" w:header="851" w:footer="992" w:gutter="0"/>
          <w:cols w:space="0" w:num="1"/>
          <w:docGrid w:type="lines" w:linePitch="312" w:charSpace="0"/>
        </w:sectPr>
      </w:pPr>
    </w:p>
    <w:p w14:paraId="014A13D3">
      <w:pPr>
        <w:rPr>
          <w:rFonts w:hint="eastAsia"/>
        </w:rPr>
      </w:pPr>
    </w:p>
    <w:sectPr>
      <w:pgSz w:w="11850" w:h="16783"/>
      <w:pgMar w:top="1417" w:right="1134" w:bottom="1417"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BC456">
    <w:pPr>
      <w:pStyle w:val="1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97202">
    <w:pPr>
      <w:pStyle w:val="14"/>
      <w:framePr w:wrap="around" w:vAnchor="text" w:hAnchor="margin" w:xAlign="outside" w:y="1"/>
      <w:rPr>
        <w:rStyle w:val="25"/>
      </w:rPr>
    </w:pPr>
    <w:r>
      <w:fldChar w:fldCharType="begin"/>
    </w:r>
    <w:r>
      <w:rPr>
        <w:rStyle w:val="25"/>
      </w:rPr>
      <w:instrText xml:space="preserve">PAGE  </w:instrText>
    </w:r>
    <w:r>
      <w:fldChar w:fldCharType="end"/>
    </w:r>
  </w:p>
  <w:p w14:paraId="04D18682">
    <w:pPr>
      <w:pStyle w:val="14"/>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63EE1">
    <w:pPr>
      <w:pStyle w:val="14"/>
      <w:jc w:val="center"/>
      <w:rPr>
        <w:rFonts w:hAnsi="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4564FC">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47</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F4564FC">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47</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585EF">
    <w:pPr>
      <w:pStyle w:val="14"/>
    </w:pPr>
  </w:p>
  <w:p w14:paraId="09E9397D">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56A1B">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7ED08">
    <w:pPr>
      <w:pStyle w:val="14"/>
      <w:rPr>
        <w:rFonts w:hAns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D1559">
    <w:pPr>
      <w:pStyle w:val="14"/>
      <w:rPr>
        <w:rFonts w:hAnsi="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9DDCD">
    <w:pPr>
      <w:pStyle w:val="14"/>
      <w:jc w:val="center"/>
      <w:rPr>
        <w:rFonts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D0D1C6">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6D0D1C6">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r>
                      <w:rPr>
                        <w:rFonts w:hint="eastAsia"/>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B4FB7">
    <w:pPr>
      <w:pStyle w:val="14"/>
      <w:jc w:val="center"/>
      <w:rPr>
        <w:rFonts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BD596D2">
                          <w:pPr>
                            <w:pStyle w:val="14"/>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WmwELLAQAAmAMAAA4AAAAAAAAAAQAgAAAAHgEAAGRycy9lMm9E&#10;b2MueG1sUEsFBgAAAAAGAAYAWQEAAFsFAAAAAA==&#10;">
              <v:fill on="f" focussize="0,0"/>
              <v:stroke on="f"/>
              <v:imagedata o:title=""/>
              <o:lock v:ext="edit" aspectratio="f"/>
              <v:textbox inset="0mm,0mm,0mm,0mm" style="mso-fit-shape-to-text:t;">
                <w:txbxContent>
                  <w:p w14:paraId="0BD596D2">
                    <w:pPr>
                      <w:pStyle w:val="14"/>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9944B">
    <w:pPr>
      <w:pStyle w:val="14"/>
      <w:jc w:val="center"/>
      <w:rPr>
        <w:rFonts w:hAnsi="宋体"/>
        <w:sz w:val="32"/>
        <w:szCs w:val="32"/>
      </w:rPr>
    </w:pPr>
    <w:r>
      <w:rPr>
        <w:sz w:val="3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7EC388">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43</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47EC388">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43</w:t>
                    </w:r>
                    <w:r>
                      <w:rPr>
                        <w:rFonts w:hint="eastAsia"/>
                      </w:rPr>
                      <w:fldChar w:fldCharType="end"/>
                    </w:r>
                    <w:r>
                      <w:rPr>
                        <w:rFonts w:hint="eastAsia"/>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6E29B">
    <w:pPr>
      <w:pStyle w:val="14"/>
      <w:jc w:val="center"/>
      <w:rPr>
        <w:rFonts w:hAnsi="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D95476">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45</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0FD95476">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45</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97B54">
    <w:pPr>
      <w:pStyle w:val="15"/>
      <w:autoSpaceDE w:val="0"/>
      <w:autoSpaceDN w:val="0"/>
      <w:adjustRightInd w:val="0"/>
      <w:snapToGrid/>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FCD50">
    <w:pPr>
      <w:pStyle w:val="15"/>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92EE9">
    <w:pPr>
      <w:pStyle w:val="15"/>
      <w:pBdr>
        <w:bottom w:val="none" w:color="auto" w:sz="0" w:space="1"/>
      </w:pBdr>
      <w:jc w:val="both"/>
    </w:pPr>
    <w:r>
      <w:rPr>
        <w:rFonts w:hint="eastAsia" w:hAnsi="宋体"/>
      </w:rPr>
      <w:t xml:space="preserve">                             </w:t>
    </w:r>
  </w:p>
  <w:p w14:paraId="73382F54">
    <w:pPr>
      <w:pStyle w:val="1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0976A">
    <w:pPr>
      <w:pStyle w:val="1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C32D0">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A60F4E"/>
    <w:multiLevelType w:val="singleLevel"/>
    <w:tmpl w:val="F4A60F4E"/>
    <w:lvl w:ilvl="0" w:tentative="0">
      <w:start w:val="2"/>
      <w:numFmt w:val="chineseCounting"/>
      <w:suff w:val="nothing"/>
      <w:lvlText w:val="%1、"/>
      <w:lvlJc w:val="left"/>
      <w:rPr>
        <w:rFonts w:hint="eastAsia"/>
      </w:rPr>
    </w:lvl>
  </w:abstractNum>
  <w:abstractNum w:abstractNumId="1">
    <w:nsid w:val="44758E5C"/>
    <w:multiLevelType w:val="singleLevel"/>
    <w:tmpl w:val="44758E5C"/>
    <w:lvl w:ilvl="0" w:tentative="0">
      <w:start w:val="5"/>
      <w:numFmt w:val="chineseCounting"/>
      <w:suff w:val="space"/>
      <w:lvlText w:val="第%1章"/>
      <w:lvlJc w:val="left"/>
      <w:rPr>
        <w:rFonts w:hint="eastAsia"/>
      </w:rPr>
    </w:lvl>
  </w:abstractNum>
  <w:abstractNum w:abstractNumId="2">
    <w:nsid w:val="505256D5"/>
    <w:multiLevelType w:val="singleLevel"/>
    <w:tmpl w:val="505256D5"/>
    <w:lvl w:ilvl="0" w:tentative="0">
      <w:start w:val="8"/>
      <w:numFmt w:val="chineseCounting"/>
      <w:suff w:val="space"/>
      <w:lvlText w:val="第%1章"/>
      <w:lvlJc w:val="left"/>
      <w:rPr>
        <w:rFonts w:hint="eastAsia"/>
      </w:rPr>
    </w:lvl>
  </w:abstractNum>
  <w:abstractNum w:abstractNumId="3">
    <w:nsid w:val="587F0AF4"/>
    <w:multiLevelType w:val="singleLevel"/>
    <w:tmpl w:val="587F0AF4"/>
    <w:lvl w:ilvl="0" w:tentative="0">
      <w:start w:val="8"/>
      <w:numFmt w:val="chineseCounting"/>
      <w:suff w:val="nothing"/>
      <w:lvlText w:val="%1、"/>
      <w:lvlJc w:val="left"/>
    </w:lvl>
  </w:abstractNum>
  <w:abstractNum w:abstractNumId="4">
    <w:nsid w:val="6329159B"/>
    <w:multiLevelType w:val="singleLevel"/>
    <w:tmpl w:val="6329159B"/>
    <w:lvl w:ilvl="0" w:tentative="0">
      <w:start w:val="2"/>
      <w:numFmt w:val="decimal"/>
      <w:suff w:val="space"/>
      <w:lvlText w:val="%1."/>
      <w:lvlJc w:val="left"/>
    </w:lvl>
  </w:abstractNum>
  <w:abstractNum w:abstractNumId="5">
    <w:nsid w:val="72AD47F6"/>
    <w:multiLevelType w:val="singleLevel"/>
    <w:tmpl w:val="72AD47F6"/>
    <w:lvl w:ilvl="0" w:tentative="0">
      <w:start w:val="2"/>
      <w:numFmt w:val="chineseCounting"/>
      <w:suff w:val="nothing"/>
      <w:lvlText w:val="%1、"/>
      <w:lvlJc w:val="left"/>
      <w:rPr>
        <w:rFonts w:hint="eastAsia"/>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5MzlmMjQ1YmUwYWM0NTE3ODlhNjE3YTlkMzAwOWQifQ=="/>
  </w:docVars>
  <w:rsids>
    <w:rsidRoot w:val="00172A27"/>
    <w:rsid w:val="00001660"/>
    <w:rsid w:val="00004B89"/>
    <w:rsid w:val="00013385"/>
    <w:rsid w:val="0001438F"/>
    <w:rsid w:val="00014483"/>
    <w:rsid w:val="00015AD4"/>
    <w:rsid w:val="000176E8"/>
    <w:rsid w:val="00021F2A"/>
    <w:rsid w:val="00022084"/>
    <w:rsid w:val="000222FA"/>
    <w:rsid w:val="0002293A"/>
    <w:rsid w:val="00023E17"/>
    <w:rsid w:val="000246A1"/>
    <w:rsid w:val="00024A16"/>
    <w:rsid w:val="00026E80"/>
    <w:rsid w:val="00030DE6"/>
    <w:rsid w:val="00031286"/>
    <w:rsid w:val="00031558"/>
    <w:rsid w:val="00032335"/>
    <w:rsid w:val="00032783"/>
    <w:rsid w:val="00035948"/>
    <w:rsid w:val="000408C4"/>
    <w:rsid w:val="00041FE4"/>
    <w:rsid w:val="000451F8"/>
    <w:rsid w:val="000462B4"/>
    <w:rsid w:val="00046697"/>
    <w:rsid w:val="0004677D"/>
    <w:rsid w:val="00047873"/>
    <w:rsid w:val="00050590"/>
    <w:rsid w:val="00051366"/>
    <w:rsid w:val="000523DF"/>
    <w:rsid w:val="000526C6"/>
    <w:rsid w:val="00052B12"/>
    <w:rsid w:val="00053337"/>
    <w:rsid w:val="00054BA4"/>
    <w:rsid w:val="00055034"/>
    <w:rsid w:val="00055C21"/>
    <w:rsid w:val="000567A9"/>
    <w:rsid w:val="00056979"/>
    <w:rsid w:val="00057397"/>
    <w:rsid w:val="00061464"/>
    <w:rsid w:val="0006243C"/>
    <w:rsid w:val="0006264C"/>
    <w:rsid w:val="000657E0"/>
    <w:rsid w:val="0006634F"/>
    <w:rsid w:val="0006738D"/>
    <w:rsid w:val="000727F2"/>
    <w:rsid w:val="000731F0"/>
    <w:rsid w:val="000739F4"/>
    <w:rsid w:val="00073B7E"/>
    <w:rsid w:val="00074138"/>
    <w:rsid w:val="000743DD"/>
    <w:rsid w:val="000749E3"/>
    <w:rsid w:val="0007588A"/>
    <w:rsid w:val="00081A37"/>
    <w:rsid w:val="00082B75"/>
    <w:rsid w:val="000834B0"/>
    <w:rsid w:val="000839BF"/>
    <w:rsid w:val="00084183"/>
    <w:rsid w:val="0008602F"/>
    <w:rsid w:val="000867B4"/>
    <w:rsid w:val="00086A4E"/>
    <w:rsid w:val="00090600"/>
    <w:rsid w:val="00090A00"/>
    <w:rsid w:val="00092B4C"/>
    <w:rsid w:val="000932AA"/>
    <w:rsid w:val="00093ABA"/>
    <w:rsid w:val="000958DC"/>
    <w:rsid w:val="000962DA"/>
    <w:rsid w:val="000A1518"/>
    <w:rsid w:val="000A1D01"/>
    <w:rsid w:val="000A2A84"/>
    <w:rsid w:val="000A32C6"/>
    <w:rsid w:val="000A3D02"/>
    <w:rsid w:val="000A3D83"/>
    <w:rsid w:val="000A4196"/>
    <w:rsid w:val="000A42C7"/>
    <w:rsid w:val="000A4B2E"/>
    <w:rsid w:val="000A4EA5"/>
    <w:rsid w:val="000A7857"/>
    <w:rsid w:val="000B07DD"/>
    <w:rsid w:val="000B0E0C"/>
    <w:rsid w:val="000B0F4B"/>
    <w:rsid w:val="000B1C2C"/>
    <w:rsid w:val="000B58C4"/>
    <w:rsid w:val="000B7FD8"/>
    <w:rsid w:val="000C00DD"/>
    <w:rsid w:val="000C0146"/>
    <w:rsid w:val="000C22DB"/>
    <w:rsid w:val="000C2EFC"/>
    <w:rsid w:val="000C3B13"/>
    <w:rsid w:val="000C405E"/>
    <w:rsid w:val="000C4129"/>
    <w:rsid w:val="000C4762"/>
    <w:rsid w:val="000C562F"/>
    <w:rsid w:val="000C5D2D"/>
    <w:rsid w:val="000C5FC0"/>
    <w:rsid w:val="000D03B4"/>
    <w:rsid w:val="000D0F0A"/>
    <w:rsid w:val="000D1724"/>
    <w:rsid w:val="000D319D"/>
    <w:rsid w:val="000D4073"/>
    <w:rsid w:val="000D4EFB"/>
    <w:rsid w:val="000D705A"/>
    <w:rsid w:val="000D710C"/>
    <w:rsid w:val="000E0A69"/>
    <w:rsid w:val="000E583C"/>
    <w:rsid w:val="000E6476"/>
    <w:rsid w:val="000E6CD7"/>
    <w:rsid w:val="000F422B"/>
    <w:rsid w:val="000F45A9"/>
    <w:rsid w:val="000F6854"/>
    <w:rsid w:val="00100B7D"/>
    <w:rsid w:val="00100C85"/>
    <w:rsid w:val="00100FCD"/>
    <w:rsid w:val="0010167E"/>
    <w:rsid w:val="00101CB5"/>
    <w:rsid w:val="001033D2"/>
    <w:rsid w:val="00105014"/>
    <w:rsid w:val="0010666F"/>
    <w:rsid w:val="001114EB"/>
    <w:rsid w:val="001116C7"/>
    <w:rsid w:val="00111F41"/>
    <w:rsid w:val="00114DE5"/>
    <w:rsid w:val="00114EBA"/>
    <w:rsid w:val="001150A5"/>
    <w:rsid w:val="001212C2"/>
    <w:rsid w:val="0012276E"/>
    <w:rsid w:val="001239E7"/>
    <w:rsid w:val="00123E53"/>
    <w:rsid w:val="00123FC0"/>
    <w:rsid w:val="00126265"/>
    <w:rsid w:val="00126D87"/>
    <w:rsid w:val="00131F14"/>
    <w:rsid w:val="001329EB"/>
    <w:rsid w:val="001345C8"/>
    <w:rsid w:val="0013590F"/>
    <w:rsid w:val="00136485"/>
    <w:rsid w:val="00136D53"/>
    <w:rsid w:val="00141A54"/>
    <w:rsid w:val="00142470"/>
    <w:rsid w:val="0014425B"/>
    <w:rsid w:val="001451F2"/>
    <w:rsid w:val="001464DD"/>
    <w:rsid w:val="001500D3"/>
    <w:rsid w:val="00150BFF"/>
    <w:rsid w:val="00151441"/>
    <w:rsid w:val="00152074"/>
    <w:rsid w:val="00153D4C"/>
    <w:rsid w:val="0015550E"/>
    <w:rsid w:val="00156466"/>
    <w:rsid w:val="00156D44"/>
    <w:rsid w:val="001575FD"/>
    <w:rsid w:val="00161AEF"/>
    <w:rsid w:val="00162078"/>
    <w:rsid w:val="0016341A"/>
    <w:rsid w:val="001648CD"/>
    <w:rsid w:val="001652F8"/>
    <w:rsid w:val="00165833"/>
    <w:rsid w:val="00167ED2"/>
    <w:rsid w:val="00170C8C"/>
    <w:rsid w:val="00172A27"/>
    <w:rsid w:val="001746B3"/>
    <w:rsid w:val="00175AEB"/>
    <w:rsid w:val="001763A5"/>
    <w:rsid w:val="001836F5"/>
    <w:rsid w:val="0018382C"/>
    <w:rsid w:val="0018390E"/>
    <w:rsid w:val="00183F9B"/>
    <w:rsid w:val="00185A39"/>
    <w:rsid w:val="00185F2C"/>
    <w:rsid w:val="00186A43"/>
    <w:rsid w:val="00186AEA"/>
    <w:rsid w:val="001876EA"/>
    <w:rsid w:val="00187C36"/>
    <w:rsid w:val="00187D88"/>
    <w:rsid w:val="0019037D"/>
    <w:rsid w:val="00193802"/>
    <w:rsid w:val="00193E56"/>
    <w:rsid w:val="001961BF"/>
    <w:rsid w:val="00196A94"/>
    <w:rsid w:val="00196B7A"/>
    <w:rsid w:val="00196B7B"/>
    <w:rsid w:val="001974BF"/>
    <w:rsid w:val="0019756E"/>
    <w:rsid w:val="001A0BE4"/>
    <w:rsid w:val="001A4D34"/>
    <w:rsid w:val="001A67F1"/>
    <w:rsid w:val="001A761A"/>
    <w:rsid w:val="001B053F"/>
    <w:rsid w:val="001B1F0F"/>
    <w:rsid w:val="001B22E9"/>
    <w:rsid w:val="001B334A"/>
    <w:rsid w:val="001B3E78"/>
    <w:rsid w:val="001B4B2D"/>
    <w:rsid w:val="001C2CAE"/>
    <w:rsid w:val="001C4A5B"/>
    <w:rsid w:val="001C5AF6"/>
    <w:rsid w:val="001D0091"/>
    <w:rsid w:val="001D0F62"/>
    <w:rsid w:val="001D2331"/>
    <w:rsid w:val="001D3913"/>
    <w:rsid w:val="001E0521"/>
    <w:rsid w:val="001E0CB9"/>
    <w:rsid w:val="001E148C"/>
    <w:rsid w:val="001E3B05"/>
    <w:rsid w:val="001E5BB0"/>
    <w:rsid w:val="001E6EBF"/>
    <w:rsid w:val="001E6EC9"/>
    <w:rsid w:val="001E6EF9"/>
    <w:rsid w:val="001F035E"/>
    <w:rsid w:val="001F1E7D"/>
    <w:rsid w:val="001F2E29"/>
    <w:rsid w:val="001F492D"/>
    <w:rsid w:val="001F64F5"/>
    <w:rsid w:val="001F79FC"/>
    <w:rsid w:val="001F7DBD"/>
    <w:rsid w:val="00203068"/>
    <w:rsid w:val="00205336"/>
    <w:rsid w:val="00206D18"/>
    <w:rsid w:val="0021013C"/>
    <w:rsid w:val="002120D0"/>
    <w:rsid w:val="002125E6"/>
    <w:rsid w:val="00215638"/>
    <w:rsid w:val="0021668E"/>
    <w:rsid w:val="00220283"/>
    <w:rsid w:val="00224333"/>
    <w:rsid w:val="00224CDC"/>
    <w:rsid w:val="002270B2"/>
    <w:rsid w:val="00230304"/>
    <w:rsid w:val="00230D10"/>
    <w:rsid w:val="002320BC"/>
    <w:rsid w:val="002332EA"/>
    <w:rsid w:val="002342C9"/>
    <w:rsid w:val="00241AF6"/>
    <w:rsid w:val="00242277"/>
    <w:rsid w:val="00244015"/>
    <w:rsid w:val="0024529B"/>
    <w:rsid w:val="00245E6C"/>
    <w:rsid w:val="002470DA"/>
    <w:rsid w:val="0025006F"/>
    <w:rsid w:val="00250692"/>
    <w:rsid w:val="002509D0"/>
    <w:rsid w:val="002510B3"/>
    <w:rsid w:val="00252DDB"/>
    <w:rsid w:val="0025359C"/>
    <w:rsid w:val="002554B2"/>
    <w:rsid w:val="00255D4B"/>
    <w:rsid w:val="00262A61"/>
    <w:rsid w:val="00263B9A"/>
    <w:rsid w:val="00265F18"/>
    <w:rsid w:val="002665C5"/>
    <w:rsid w:val="002703E3"/>
    <w:rsid w:val="00272326"/>
    <w:rsid w:val="0027252A"/>
    <w:rsid w:val="00277B58"/>
    <w:rsid w:val="00280D8F"/>
    <w:rsid w:val="00281347"/>
    <w:rsid w:val="002857AA"/>
    <w:rsid w:val="0029048E"/>
    <w:rsid w:val="00290AEB"/>
    <w:rsid w:val="00291539"/>
    <w:rsid w:val="00292632"/>
    <w:rsid w:val="00294EBC"/>
    <w:rsid w:val="0029626C"/>
    <w:rsid w:val="00297B8B"/>
    <w:rsid w:val="00297D0C"/>
    <w:rsid w:val="002A0B7A"/>
    <w:rsid w:val="002A0C3D"/>
    <w:rsid w:val="002A0C82"/>
    <w:rsid w:val="002A1E56"/>
    <w:rsid w:val="002A4317"/>
    <w:rsid w:val="002A7D03"/>
    <w:rsid w:val="002B067F"/>
    <w:rsid w:val="002B06DF"/>
    <w:rsid w:val="002B3263"/>
    <w:rsid w:val="002B3FE9"/>
    <w:rsid w:val="002B4920"/>
    <w:rsid w:val="002B5EB0"/>
    <w:rsid w:val="002B6D25"/>
    <w:rsid w:val="002B7D1D"/>
    <w:rsid w:val="002C0169"/>
    <w:rsid w:val="002C0185"/>
    <w:rsid w:val="002C0964"/>
    <w:rsid w:val="002C2154"/>
    <w:rsid w:val="002C3905"/>
    <w:rsid w:val="002C67ED"/>
    <w:rsid w:val="002C7DDE"/>
    <w:rsid w:val="002D2A3C"/>
    <w:rsid w:val="002D44CE"/>
    <w:rsid w:val="002D5D7E"/>
    <w:rsid w:val="002D6435"/>
    <w:rsid w:val="002D73AE"/>
    <w:rsid w:val="002E1456"/>
    <w:rsid w:val="002E2016"/>
    <w:rsid w:val="002E372F"/>
    <w:rsid w:val="002E38A1"/>
    <w:rsid w:val="002E53EC"/>
    <w:rsid w:val="002E7B45"/>
    <w:rsid w:val="002F0D48"/>
    <w:rsid w:val="002F3919"/>
    <w:rsid w:val="002F5A38"/>
    <w:rsid w:val="002F797B"/>
    <w:rsid w:val="00302602"/>
    <w:rsid w:val="0030262F"/>
    <w:rsid w:val="00303C8B"/>
    <w:rsid w:val="00306772"/>
    <w:rsid w:val="00306A59"/>
    <w:rsid w:val="00306EED"/>
    <w:rsid w:val="00306F89"/>
    <w:rsid w:val="00311669"/>
    <w:rsid w:val="0031253B"/>
    <w:rsid w:val="00314009"/>
    <w:rsid w:val="00315A72"/>
    <w:rsid w:val="0031795E"/>
    <w:rsid w:val="00321BCE"/>
    <w:rsid w:val="003230A0"/>
    <w:rsid w:val="00323546"/>
    <w:rsid w:val="0032451F"/>
    <w:rsid w:val="003245A1"/>
    <w:rsid w:val="00327B03"/>
    <w:rsid w:val="00331FC6"/>
    <w:rsid w:val="0033261E"/>
    <w:rsid w:val="003331D2"/>
    <w:rsid w:val="00334A11"/>
    <w:rsid w:val="00335BD1"/>
    <w:rsid w:val="003419CA"/>
    <w:rsid w:val="00342078"/>
    <w:rsid w:val="00343E79"/>
    <w:rsid w:val="00346A47"/>
    <w:rsid w:val="0035067D"/>
    <w:rsid w:val="00351E9C"/>
    <w:rsid w:val="00352BE5"/>
    <w:rsid w:val="003534C0"/>
    <w:rsid w:val="00354318"/>
    <w:rsid w:val="00354A64"/>
    <w:rsid w:val="00354A79"/>
    <w:rsid w:val="00355FC0"/>
    <w:rsid w:val="00356142"/>
    <w:rsid w:val="00356AD1"/>
    <w:rsid w:val="00361262"/>
    <w:rsid w:val="00361C9E"/>
    <w:rsid w:val="00364647"/>
    <w:rsid w:val="0037029D"/>
    <w:rsid w:val="00370C8A"/>
    <w:rsid w:val="0037288F"/>
    <w:rsid w:val="00372E53"/>
    <w:rsid w:val="00373951"/>
    <w:rsid w:val="0037405F"/>
    <w:rsid w:val="00375F76"/>
    <w:rsid w:val="0037714C"/>
    <w:rsid w:val="00381E2B"/>
    <w:rsid w:val="00382A01"/>
    <w:rsid w:val="00383BFA"/>
    <w:rsid w:val="00384FE6"/>
    <w:rsid w:val="003851CE"/>
    <w:rsid w:val="00386948"/>
    <w:rsid w:val="003924E0"/>
    <w:rsid w:val="00394101"/>
    <w:rsid w:val="00395323"/>
    <w:rsid w:val="00395A66"/>
    <w:rsid w:val="0039654A"/>
    <w:rsid w:val="0039658A"/>
    <w:rsid w:val="00396685"/>
    <w:rsid w:val="003A44B1"/>
    <w:rsid w:val="003B035C"/>
    <w:rsid w:val="003B07A2"/>
    <w:rsid w:val="003B0FE8"/>
    <w:rsid w:val="003B1AB5"/>
    <w:rsid w:val="003B1E98"/>
    <w:rsid w:val="003B22D9"/>
    <w:rsid w:val="003B3290"/>
    <w:rsid w:val="003B3755"/>
    <w:rsid w:val="003B4511"/>
    <w:rsid w:val="003B4C27"/>
    <w:rsid w:val="003B6F87"/>
    <w:rsid w:val="003C0054"/>
    <w:rsid w:val="003C0851"/>
    <w:rsid w:val="003C14AB"/>
    <w:rsid w:val="003C1E7C"/>
    <w:rsid w:val="003C668B"/>
    <w:rsid w:val="003D1437"/>
    <w:rsid w:val="003D3B7C"/>
    <w:rsid w:val="003D629B"/>
    <w:rsid w:val="003D6FFA"/>
    <w:rsid w:val="003D72B6"/>
    <w:rsid w:val="003E35F5"/>
    <w:rsid w:val="003E44CB"/>
    <w:rsid w:val="003E5C6E"/>
    <w:rsid w:val="003F2938"/>
    <w:rsid w:val="003F4247"/>
    <w:rsid w:val="003F4F88"/>
    <w:rsid w:val="003F7462"/>
    <w:rsid w:val="00400273"/>
    <w:rsid w:val="00400415"/>
    <w:rsid w:val="00400F8F"/>
    <w:rsid w:val="00401075"/>
    <w:rsid w:val="00403397"/>
    <w:rsid w:val="00404202"/>
    <w:rsid w:val="00405597"/>
    <w:rsid w:val="004056A0"/>
    <w:rsid w:val="00406C2F"/>
    <w:rsid w:val="004071DA"/>
    <w:rsid w:val="0041210C"/>
    <w:rsid w:val="00420862"/>
    <w:rsid w:val="00420880"/>
    <w:rsid w:val="00421009"/>
    <w:rsid w:val="004233F9"/>
    <w:rsid w:val="0042372A"/>
    <w:rsid w:val="004259A8"/>
    <w:rsid w:val="00425ACB"/>
    <w:rsid w:val="00425E38"/>
    <w:rsid w:val="00427793"/>
    <w:rsid w:val="004277FA"/>
    <w:rsid w:val="00430020"/>
    <w:rsid w:val="004347BF"/>
    <w:rsid w:val="00434EDB"/>
    <w:rsid w:val="00436108"/>
    <w:rsid w:val="004368E1"/>
    <w:rsid w:val="00436A1E"/>
    <w:rsid w:val="00437349"/>
    <w:rsid w:val="00437F68"/>
    <w:rsid w:val="00440010"/>
    <w:rsid w:val="00441691"/>
    <w:rsid w:val="00442203"/>
    <w:rsid w:val="004440D6"/>
    <w:rsid w:val="0044451B"/>
    <w:rsid w:val="00446C23"/>
    <w:rsid w:val="00447598"/>
    <w:rsid w:val="00447F5D"/>
    <w:rsid w:val="00451934"/>
    <w:rsid w:val="004522CD"/>
    <w:rsid w:val="00453DA2"/>
    <w:rsid w:val="00454103"/>
    <w:rsid w:val="004569C9"/>
    <w:rsid w:val="00457964"/>
    <w:rsid w:val="004643AF"/>
    <w:rsid w:val="00464C62"/>
    <w:rsid w:val="00465A54"/>
    <w:rsid w:val="004677D8"/>
    <w:rsid w:val="00472927"/>
    <w:rsid w:val="00474121"/>
    <w:rsid w:val="004746B7"/>
    <w:rsid w:val="00474A2F"/>
    <w:rsid w:val="004753B1"/>
    <w:rsid w:val="00476556"/>
    <w:rsid w:val="004837E8"/>
    <w:rsid w:val="00484A3D"/>
    <w:rsid w:val="0048581D"/>
    <w:rsid w:val="004859C3"/>
    <w:rsid w:val="00485EDF"/>
    <w:rsid w:val="00490A1F"/>
    <w:rsid w:val="004924E2"/>
    <w:rsid w:val="0049282E"/>
    <w:rsid w:val="0049425B"/>
    <w:rsid w:val="00494369"/>
    <w:rsid w:val="004967DA"/>
    <w:rsid w:val="004A0510"/>
    <w:rsid w:val="004A11B8"/>
    <w:rsid w:val="004A2B4F"/>
    <w:rsid w:val="004A6596"/>
    <w:rsid w:val="004A7ED0"/>
    <w:rsid w:val="004B1CB6"/>
    <w:rsid w:val="004B2E17"/>
    <w:rsid w:val="004B31F5"/>
    <w:rsid w:val="004B42C6"/>
    <w:rsid w:val="004B46E7"/>
    <w:rsid w:val="004B4E67"/>
    <w:rsid w:val="004B56B6"/>
    <w:rsid w:val="004B58B4"/>
    <w:rsid w:val="004B7913"/>
    <w:rsid w:val="004B7CD4"/>
    <w:rsid w:val="004C1A76"/>
    <w:rsid w:val="004C2D18"/>
    <w:rsid w:val="004C3CC5"/>
    <w:rsid w:val="004C5A8D"/>
    <w:rsid w:val="004D17B5"/>
    <w:rsid w:val="004D1CAF"/>
    <w:rsid w:val="004D1D4C"/>
    <w:rsid w:val="004D2D2B"/>
    <w:rsid w:val="004D438D"/>
    <w:rsid w:val="004D6AA0"/>
    <w:rsid w:val="004D6EA3"/>
    <w:rsid w:val="004D7C5A"/>
    <w:rsid w:val="004E095F"/>
    <w:rsid w:val="004E0DC1"/>
    <w:rsid w:val="004E2BA2"/>
    <w:rsid w:val="004E3AD2"/>
    <w:rsid w:val="004E4ECE"/>
    <w:rsid w:val="004E77BC"/>
    <w:rsid w:val="004E7C5E"/>
    <w:rsid w:val="004F053A"/>
    <w:rsid w:val="004F2BA1"/>
    <w:rsid w:val="004F4A10"/>
    <w:rsid w:val="004F6640"/>
    <w:rsid w:val="004F6D0A"/>
    <w:rsid w:val="00500450"/>
    <w:rsid w:val="005023EE"/>
    <w:rsid w:val="00503CA8"/>
    <w:rsid w:val="0051137A"/>
    <w:rsid w:val="00511759"/>
    <w:rsid w:val="00512F35"/>
    <w:rsid w:val="00515F84"/>
    <w:rsid w:val="00516884"/>
    <w:rsid w:val="00516E92"/>
    <w:rsid w:val="0051796C"/>
    <w:rsid w:val="0052149F"/>
    <w:rsid w:val="00521CEF"/>
    <w:rsid w:val="005234C2"/>
    <w:rsid w:val="00523933"/>
    <w:rsid w:val="00524715"/>
    <w:rsid w:val="005275DB"/>
    <w:rsid w:val="00534655"/>
    <w:rsid w:val="0053654A"/>
    <w:rsid w:val="005379D8"/>
    <w:rsid w:val="00537DFF"/>
    <w:rsid w:val="00541511"/>
    <w:rsid w:val="005437F7"/>
    <w:rsid w:val="0054439D"/>
    <w:rsid w:val="005455D7"/>
    <w:rsid w:val="0054613F"/>
    <w:rsid w:val="00546F02"/>
    <w:rsid w:val="0054726C"/>
    <w:rsid w:val="00547477"/>
    <w:rsid w:val="00550637"/>
    <w:rsid w:val="00550C15"/>
    <w:rsid w:val="00551E54"/>
    <w:rsid w:val="00552A5B"/>
    <w:rsid w:val="00553A9F"/>
    <w:rsid w:val="00555666"/>
    <w:rsid w:val="005557AE"/>
    <w:rsid w:val="005563F8"/>
    <w:rsid w:val="0055769A"/>
    <w:rsid w:val="005603D7"/>
    <w:rsid w:val="00560776"/>
    <w:rsid w:val="005651F2"/>
    <w:rsid w:val="00566BF2"/>
    <w:rsid w:val="00566C37"/>
    <w:rsid w:val="00567FBF"/>
    <w:rsid w:val="0057020D"/>
    <w:rsid w:val="005710B2"/>
    <w:rsid w:val="005715A3"/>
    <w:rsid w:val="005758DC"/>
    <w:rsid w:val="00575EC8"/>
    <w:rsid w:val="005770E1"/>
    <w:rsid w:val="00577D3B"/>
    <w:rsid w:val="00583ED8"/>
    <w:rsid w:val="00585C10"/>
    <w:rsid w:val="00585D18"/>
    <w:rsid w:val="00586DE8"/>
    <w:rsid w:val="005873E6"/>
    <w:rsid w:val="005876D8"/>
    <w:rsid w:val="00590091"/>
    <w:rsid w:val="00591013"/>
    <w:rsid w:val="0059168E"/>
    <w:rsid w:val="00591E80"/>
    <w:rsid w:val="0059553F"/>
    <w:rsid w:val="00595B7E"/>
    <w:rsid w:val="005A6B6C"/>
    <w:rsid w:val="005B0EA2"/>
    <w:rsid w:val="005B3818"/>
    <w:rsid w:val="005B4B72"/>
    <w:rsid w:val="005B52B1"/>
    <w:rsid w:val="005B5AEB"/>
    <w:rsid w:val="005C08FA"/>
    <w:rsid w:val="005C10F2"/>
    <w:rsid w:val="005C3E17"/>
    <w:rsid w:val="005D1258"/>
    <w:rsid w:val="005D3DE5"/>
    <w:rsid w:val="005D691C"/>
    <w:rsid w:val="005D72BC"/>
    <w:rsid w:val="005D7BAC"/>
    <w:rsid w:val="005E0927"/>
    <w:rsid w:val="005E0EB8"/>
    <w:rsid w:val="005E1042"/>
    <w:rsid w:val="005E290B"/>
    <w:rsid w:val="005E61DB"/>
    <w:rsid w:val="005F038E"/>
    <w:rsid w:val="005F28F4"/>
    <w:rsid w:val="005F39AC"/>
    <w:rsid w:val="005F6B77"/>
    <w:rsid w:val="005F70B8"/>
    <w:rsid w:val="006003EE"/>
    <w:rsid w:val="00605136"/>
    <w:rsid w:val="0060560B"/>
    <w:rsid w:val="00606299"/>
    <w:rsid w:val="006063A3"/>
    <w:rsid w:val="00606464"/>
    <w:rsid w:val="00606E5C"/>
    <w:rsid w:val="0060753A"/>
    <w:rsid w:val="00610DCC"/>
    <w:rsid w:val="006120A9"/>
    <w:rsid w:val="00612C9E"/>
    <w:rsid w:val="00614B06"/>
    <w:rsid w:val="00614DE1"/>
    <w:rsid w:val="006169D0"/>
    <w:rsid w:val="00616C8F"/>
    <w:rsid w:val="00616EAA"/>
    <w:rsid w:val="0062060B"/>
    <w:rsid w:val="00621870"/>
    <w:rsid w:val="00626234"/>
    <w:rsid w:val="00627813"/>
    <w:rsid w:val="00630CE7"/>
    <w:rsid w:val="00633FA7"/>
    <w:rsid w:val="006345DE"/>
    <w:rsid w:val="00635F76"/>
    <w:rsid w:val="00643045"/>
    <w:rsid w:val="0064574D"/>
    <w:rsid w:val="00645C78"/>
    <w:rsid w:val="00646470"/>
    <w:rsid w:val="00646570"/>
    <w:rsid w:val="00650EC4"/>
    <w:rsid w:val="00652426"/>
    <w:rsid w:val="0065519A"/>
    <w:rsid w:val="0065793E"/>
    <w:rsid w:val="006622F0"/>
    <w:rsid w:val="00662776"/>
    <w:rsid w:val="00665609"/>
    <w:rsid w:val="006666FB"/>
    <w:rsid w:val="00666D76"/>
    <w:rsid w:val="0066748C"/>
    <w:rsid w:val="0066780A"/>
    <w:rsid w:val="00667F67"/>
    <w:rsid w:val="006708E4"/>
    <w:rsid w:val="00670BD0"/>
    <w:rsid w:val="006733AC"/>
    <w:rsid w:val="006738C0"/>
    <w:rsid w:val="006747D0"/>
    <w:rsid w:val="00676BDE"/>
    <w:rsid w:val="00677EB4"/>
    <w:rsid w:val="00680E92"/>
    <w:rsid w:val="00680F34"/>
    <w:rsid w:val="006815B2"/>
    <w:rsid w:val="00682060"/>
    <w:rsid w:val="006820AD"/>
    <w:rsid w:val="006825D3"/>
    <w:rsid w:val="006826F0"/>
    <w:rsid w:val="00682A5F"/>
    <w:rsid w:val="00682AC8"/>
    <w:rsid w:val="00682BF1"/>
    <w:rsid w:val="00683B04"/>
    <w:rsid w:val="0068510B"/>
    <w:rsid w:val="00687E71"/>
    <w:rsid w:val="00690343"/>
    <w:rsid w:val="00693EA5"/>
    <w:rsid w:val="006959B9"/>
    <w:rsid w:val="00695A3E"/>
    <w:rsid w:val="006A0565"/>
    <w:rsid w:val="006A0C8E"/>
    <w:rsid w:val="006A357E"/>
    <w:rsid w:val="006A45A1"/>
    <w:rsid w:val="006A4E33"/>
    <w:rsid w:val="006A6791"/>
    <w:rsid w:val="006A7FB3"/>
    <w:rsid w:val="006A7FB6"/>
    <w:rsid w:val="006B3179"/>
    <w:rsid w:val="006B3693"/>
    <w:rsid w:val="006B43B6"/>
    <w:rsid w:val="006B6634"/>
    <w:rsid w:val="006B728F"/>
    <w:rsid w:val="006B7390"/>
    <w:rsid w:val="006B73C5"/>
    <w:rsid w:val="006B791C"/>
    <w:rsid w:val="006C2713"/>
    <w:rsid w:val="006C28C6"/>
    <w:rsid w:val="006C34E1"/>
    <w:rsid w:val="006C434D"/>
    <w:rsid w:val="006C5CD3"/>
    <w:rsid w:val="006C5DBB"/>
    <w:rsid w:val="006C636D"/>
    <w:rsid w:val="006D1852"/>
    <w:rsid w:val="006D2D0E"/>
    <w:rsid w:val="006D4E10"/>
    <w:rsid w:val="006D539E"/>
    <w:rsid w:val="006D634E"/>
    <w:rsid w:val="006D73C5"/>
    <w:rsid w:val="006D7AEE"/>
    <w:rsid w:val="006E0F4A"/>
    <w:rsid w:val="006E1B6F"/>
    <w:rsid w:val="006E280B"/>
    <w:rsid w:val="006E3610"/>
    <w:rsid w:val="006E3819"/>
    <w:rsid w:val="006E3977"/>
    <w:rsid w:val="006E3EA3"/>
    <w:rsid w:val="006E57C3"/>
    <w:rsid w:val="006E5B7C"/>
    <w:rsid w:val="006E6C7E"/>
    <w:rsid w:val="006E7778"/>
    <w:rsid w:val="006F19FC"/>
    <w:rsid w:val="006F6F4D"/>
    <w:rsid w:val="006F72D9"/>
    <w:rsid w:val="006F74F3"/>
    <w:rsid w:val="00703E8A"/>
    <w:rsid w:val="00706597"/>
    <w:rsid w:val="007068BA"/>
    <w:rsid w:val="00707B59"/>
    <w:rsid w:val="00710A76"/>
    <w:rsid w:val="0071161C"/>
    <w:rsid w:val="00716115"/>
    <w:rsid w:val="00716B69"/>
    <w:rsid w:val="00721582"/>
    <w:rsid w:val="00721914"/>
    <w:rsid w:val="007236E6"/>
    <w:rsid w:val="0072427E"/>
    <w:rsid w:val="0073057D"/>
    <w:rsid w:val="00730609"/>
    <w:rsid w:val="00731DA2"/>
    <w:rsid w:val="0073276D"/>
    <w:rsid w:val="00734122"/>
    <w:rsid w:val="007352A4"/>
    <w:rsid w:val="00736FE3"/>
    <w:rsid w:val="00737F15"/>
    <w:rsid w:val="0074082A"/>
    <w:rsid w:val="007423F5"/>
    <w:rsid w:val="00742877"/>
    <w:rsid w:val="0074393D"/>
    <w:rsid w:val="00743991"/>
    <w:rsid w:val="00746AD4"/>
    <w:rsid w:val="00750B7E"/>
    <w:rsid w:val="007515C4"/>
    <w:rsid w:val="007522B7"/>
    <w:rsid w:val="0075277D"/>
    <w:rsid w:val="007540CC"/>
    <w:rsid w:val="00755A08"/>
    <w:rsid w:val="00756231"/>
    <w:rsid w:val="00757287"/>
    <w:rsid w:val="00757D3C"/>
    <w:rsid w:val="007604E9"/>
    <w:rsid w:val="00762466"/>
    <w:rsid w:val="00763F24"/>
    <w:rsid w:val="00764146"/>
    <w:rsid w:val="007646F7"/>
    <w:rsid w:val="00764BF3"/>
    <w:rsid w:val="0076635D"/>
    <w:rsid w:val="007663CC"/>
    <w:rsid w:val="00766C89"/>
    <w:rsid w:val="00766D98"/>
    <w:rsid w:val="007673B6"/>
    <w:rsid w:val="007707AA"/>
    <w:rsid w:val="00774962"/>
    <w:rsid w:val="00775F64"/>
    <w:rsid w:val="00776970"/>
    <w:rsid w:val="00777FC5"/>
    <w:rsid w:val="00780DCA"/>
    <w:rsid w:val="00781660"/>
    <w:rsid w:val="007818C9"/>
    <w:rsid w:val="00782920"/>
    <w:rsid w:val="007865E1"/>
    <w:rsid w:val="007866F2"/>
    <w:rsid w:val="00790706"/>
    <w:rsid w:val="007A009E"/>
    <w:rsid w:val="007A01F7"/>
    <w:rsid w:val="007A0F8C"/>
    <w:rsid w:val="007A13C0"/>
    <w:rsid w:val="007A4490"/>
    <w:rsid w:val="007A4EE5"/>
    <w:rsid w:val="007A4F56"/>
    <w:rsid w:val="007A63C2"/>
    <w:rsid w:val="007A7069"/>
    <w:rsid w:val="007A70D1"/>
    <w:rsid w:val="007A7526"/>
    <w:rsid w:val="007A7C36"/>
    <w:rsid w:val="007B100D"/>
    <w:rsid w:val="007B1854"/>
    <w:rsid w:val="007B283B"/>
    <w:rsid w:val="007B2F12"/>
    <w:rsid w:val="007B5FA8"/>
    <w:rsid w:val="007B6900"/>
    <w:rsid w:val="007B7884"/>
    <w:rsid w:val="007C0294"/>
    <w:rsid w:val="007C12CC"/>
    <w:rsid w:val="007C3B0F"/>
    <w:rsid w:val="007C563E"/>
    <w:rsid w:val="007C6221"/>
    <w:rsid w:val="007D2B50"/>
    <w:rsid w:val="007D39E5"/>
    <w:rsid w:val="007D425A"/>
    <w:rsid w:val="007D54E9"/>
    <w:rsid w:val="007D5727"/>
    <w:rsid w:val="007D5A19"/>
    <w:rsid w:val="007E193D"/>
    <w:rsid w:val="007E31A6"/>
    <w:rsid w:val="007E37B8"/>
    <w:rsid w:val="007E4F90"/>
    <w:rsid w:val="007F00ED"/>
    <w:rsid w:val="007F2474"/>
    <w:rsid w:val="007F5FAD"/>
    <w:rsid w:val="007F620C"/>
    <w:rsid w:val="008004E8"/>
    <w:rsid w:val="00801B05"/>
    <w:rsid w:val="008025D3"/>
    <w:rsid w:val="00807A32"/>
    <w:rsid w:val="00807BB1"/>
    <w:rsid w:val="008102C8"/>
    <w:rsid w:val="00810C97"/>
    <w:rsid w:val="008127C3"/>
    <w:rsid w:val="008134EF"/>
    <w:rsid w:val="008139F7"/>
    <w:rsid w:val="00813B77"/>
    <w:rsid w:val="008159D7"/>
    <w:rsid w:val="00816AC0"/>
    <w:rsid w:val="0081715B"/>
    <w:rsid w:val="00817C5D"/>
    <w:rsid w:val="00817D26"/>
    <w:rsid w:val="00817F70"/>
    <w:rsid w:val="00821A14"/>
    <w:rsid w:val="00821FBB"/>
    <w:rsid w:val="008265AD"/>
    <w:rsid w:val="008266FA"/>
    <w:rsid w:val="00830484"/>
    <w:rsid w:val="00830A98"/>
    <w:rsid w:val="00831330"/>
    <w:rsid w:val="00831AF4"/>
    <w:rsid w:val="00835E74"/>
    <w:rsid w:val="008373DB"/>
    <w:rsid w:val="00840B26"/>
    <w:rsid w:val="00840D1C"/>
    <w:rsid w:val="00841CA6"/>
    <w:rsid w:val="00843A50"/>
    <w:rsid w:val="00843C8D"/>
    <w:rsid w:val="00844361"/>
    <w:rsid w:val="00845524"/>
    <w:rsid w:val="00847236"/>
    <w:rsid w:val="008510BC"/>
    <w:rsid w:val="00851335"/>
    <w:rsid w:val="00851D92"/>
    <w:rsid w:val="00852BC0"/>
    <w:rsid w:val="00852E08"/>
    <w:rsid w:val="00855B24"/>
    <w:rsid w:val="00857EA5"/>
    <w:rsid w:val="00863B9D"/>
    <w:rsid w:val="00865464"/>
    <w:rsid w:val="0087069A"/>
    <w:rsid w:val="008708ED"/>
    <w:rsid w:val="0087135D"/>
    <w:rsid w:val="00874451"/>
    <w:rsid w:val="00875714"/>
    <w:rsid w:val="00877038"/>
    <w:rsid w:val="00882E0C"/>
    <w:rsid w:val="008834FA"/>
    <w:rsid w:val="00885488"/>
    <w:rsid w:val="00887A37"/>
    <w:rsid w:val="008944AF"/>
    <w:rsid w:val="0089587E"/>
    <w:rsid w:val="008970D5"/>
    <w:rsid w:val="00897B8F"/>
    <w:rsid w:val="008A0B92"/>
    <w:rsid w:val="008A1079"/>
    <w:rsid w:val="008A1875"/>
    <w:rsid w:val="008A3B23"/>
    <w:rsid w:val="008A3E63"/>
    <w:rsid w:val="008A4078"/>
    <w:rsid w:val="008A51A9"/>
    <w:rsid w:val="008B0085"/>
    <w:rsid w:val="008B2B51"/>
    <w:rsid w:val="008B346E"/>
    <w:rsid w:val="008B4E2A"/>
    <w:rsid w:val="008B5136"/>
    <w:rsid w:val="008B68FD"/>
    <w:rsid w:val="008C2E09"/>
    <w:rsid w:val="008C32D0"/>
    <w:rsid w:val="008C3677"/>
    <w:rsid w:val="008C3970"/>
    <w:rsid w:val="008C48F8"/>
    <w:rsid w:val="008D3C61"/>
    <w:rsid w:val="008D4DE9"/>
    <w:rsid w:val="008D6485"/>
    <w:rsid w:val="008D706D"/>
    <w:rsid w:val="008E1ADA"/>
    <w:rsid w:val="008E1C35"/>
    <w:rsid w:val="008E2427"/>
    <w:rsid w:val="008E46ED"/>
    <w:rsid w:val="008E5112"/>
    <w:rsid w:val="008E512D"/>
    <w:rsid w:val="008E5891"/>
    <w:rsid w:val="008E5F09"/>
    <w:rsid w:val="008F1A08"/>
    <w:rsid w:val="008F1DDA"/>
    <w:rsid w:val="008F2108"/>
    <w:rsid w:val="008F39B8"/>
    <w:rsid w:val="008F6B8B"/>
    <w:rsid w:val="00901748"/>
    <w:rsid w:val="009018E5"/>
    <w:rsid w:val="009019CF"/>
    <w:rsid w:val="00901C1E"/>
    <w:rsid w:val="00902CF4"/>
    <w:rsid w:val="0090478A"/>
    <w:rsid w:val="009056D3"/>
    <w:rsid w:val="00905841"/>
    <w:rsid w:val="00907D77"/>
    <w:rsid w:val="00910F99"/>
    <w:rsid w:val="00914BDD"/>
    <w:rsid w:val="00916557"/>
    <w:rsid w:val="0091761E"/>
    <w:rsid w:val="00920FF1"/>
    <w:rsid w:val="00921695"/>
    <w:rsid w:val="009221E3"/>
    <w:rsid w:val="0092358B"/>
    <w:rsid w:val="009235E0"/>
    <w:rsid w:val="00924A8B"/>
    <w:rsid w:val="0092521F"/>
    <w:rsid w:val="0092555F"/>
    <w:rsid w:val="00926E97"/>
    <w:rsid w:val="0092700A"/>
    <w:rsid w:val="00927144"/>
    <w:rsid w:val="009306D2"/>
    <w:rsid w:val="00931F6A"/>
    <w:rsid w:val="00932A46"/>
    <w:rsid w:val="00933D99"/>
    <w:rsid w:val="009346ED"/>
    <w:rsid w:val="00935053"/>
    <w:rsid w:val="0093520D"/>
    <w:rsid w:val="0093790A"/>
    <w:rsid w:val="009417EE"/>
    <w:rsid w:val="00945A9B"/>
    <w:rsid w:val="00951C0F"/>
    <w:rsid w:val="00954A78"/>
    <w:rsid w:val="009618EC"/>
    <w:rsid w:val="00961BBD"/>
    <w:rsid w:val="0096295D"/>
    <w:rsid w:val="00964479"/>
    <w:rsid w:val="00966E0E"/>
    <w:rsid w:val="0097195D"/>
    <w:rsid w:val="009721A4"/>
    <w:rsid w:val="009727F4"/>
    <w:rsid w:val="00972975"/>
    <w:rsid w:val="00973FEF"/>
    <w:rsid w:val="009752EE"/>
    <w:rsid w:val="00977F1D"/>
    <w:rsid w:val="00980F49"/>
    <w:rsid w:val="0098255F"/>
    <w:rsid w:val="0098261E"/>
    <w:rsid w:val="00982994"/>
    <w:rsid w:val="009844F8"/>
    <w:rsid w:val="0098675D"/>
    <w:rsid w:val="00987223"/>
    <w:rsid w:val="00987F3D"/>
    <w:rsid w:val="00990E2B"/>
    <w:rsid w:val="0099514C"/>
    <w:rsid w:val="00996CE3"/>
    <w:rsid w:val="00996F0B"/>
    <w:rsid w:val="009A07C7"/>
    <w:rsid w:val="009A0958"/>
    <w:rsid w:val="009A1FE1"/>
    <w:rsid w:val="009A4BD5"/>
    <w:rsid w:val="009A4DCC"/>
    <w:rsid w:val="009A4F79"/>
    <w:rsid w:val="009A5259"/>
    <w:rsid w:val="009A636B"/>
    <w:rsid w:val="009A6CC8"/>
    <w:rsid w:val="009A7416"/>
    <w:rsid w:val="009B520F"/>
    <w:rsid w:val="009B6998"/>
    <w:rsid w:val="009C17E0"/>
    <w:rsid w:val="009C21A8"/>
    <w:rsid w:val="009C58FC"/>
    <w:rsid w:val="009D004A"/>
    <w:rsid w:val="009D0197"/>
    <w:rsid w:val="009D19AE"/>
    <w:rsid w:val="009D1FA3"/>
    <w:rsid w:val="009D2805"/>
    <w:rsid w:val="009D3609"/>
    <w:rsid w:val="009D7994"/>
    <w:rsid w:val="009E1712"/>
    <w:rsid w:val="009E3963"/>
    <w:rsid w:val="009E46B1"/>
    <w:rsid w:val="009E7AD9"/>
    <w:rsid w:val="009F1FFE"/>
    <w:rsid w:val="009F31B2"/>
    <w:rsid w:val="009F60DF"/>
    <w:rsid w:val="00A030EA"/>
    <w:rsid w:val="00A04C2D"/>
    <w:rsid w:val="00A04DCF"/>
    <w:rsid w:val="00A066BF"/>
    <w:rsid w:val="00A075EF"/>
    <w:rsid w:val="00A0776C"/>
    <w:rsid w:val="00A100BF"/>
    <w:rsid w:val="00A1253B"/>
    <w:rsid w:val="00A130E7"/>
    <w:rsid w:val="00A17860"/>
    <w:rsid w:val="00A21609"/>
    <w:rsid w:val="00A22389"/>
    <w:rsid w:val="00A24090"/>
    <w:rsid w:val="00A24C7F"/>
    <w:rsid w:val="00A25B97"/>
    <w:rsid w:val="00A25BBF"/>
    <w:rsid w:val="00A3179E"/>
    <w:rsid w:val="00A33051"/>
    <w:rsid w:val="00A331CA"/>
    <w:rsid w:val="00A33805"/>
    <w:rsid w:val="00A34DB9"/>
    <w:rsid w:val="00A3546D"/>
    <w:rsid w:val="00A35DEB"/>
    <w:rsid w:val="00A365D7"/>
    <w:rsid w:val="00A36E24"/>
    <w:rsid w:val="00A3709F"/>
    <w:rsid w:val="00A3731C"/>
    <w:rsid w:val="00A3757E"/>
    <w:rsid w:val="00A40262"/>
    <w:rsid w:val="00A40333"/>
    <w:rsid w:val="00A40BCF"/>
    <w:rsid w:val="00A40FA5"/>
    <w:rsid w:val="00A42BBA"/>
    <w:rsid w:val="00A450A0"/>
    <w:rsid w:val="00A4520A"/>
    <w:rsid w:val="00A46D08"/>
    <w:rsid w:val="00A47CB3"/>
    <w:rsid w:val="00A51A79"/>
    <w:rsid w:val="00A53021"/>
    <w:rsid w:val="00A53A2C"/>
    <w:rsid w:val="00A55909"/>
    <w:rsid w:val="00A56417"/>
    <w:rsid w:val="00A57448"/>
    <w:rsid w:val="00A65E47"/>
    <w:rsid w:val="00A66011"/>
    <w:rsid w:val="00A67908"/>
    <w:rsid w:val="00A708C8"/>
    <w:rsid w:val="00A70FA9"/>
    <w:rsid w:val="00A71F21"/>
    <w:rsid w:val="00A71F44"/>
    <w:rsid w:val="00A737B7"/>
    <w:rsid w:val="00A77774"/>
    <w:rsid w:val="00A80B2E"/>
    <w:rsid w:val="00A8489E"/>
    <w:rsid w:val="00A85309"/>
    <w:rsid w:val="00A858C3"/>
    <w:rsid w:val="00A85B90"/>
    <w:rsid w:val="00A87F68"/>
    <w:rsid w:val="00A93D75"/>
    <w:rsid w:val="00A93F81"/>
    <w:rsid w:val="00A94B75"/>
    <w:rsid w:val="00A94EC9"/>
    <w:rsid w:val="00A97321"/>
    <w:rsid w:val="00A978E5"/>
    <w:rsid w:val="00A97EBF"/>
    <w:rsid w:val="00AA04F9"/>
    <w:rsid w:val="00AA0889"/>
    <w:rsid w:val="00AA13B3"/>
    <w:rsid w:val="00AA23BA"/>
    <w:rsid w:val="00AA2E6B"/>
    <w:rsid w:val="00AA4870"/>
    <w:rsid w:val="00AA4A6D"/>
    <w:rsid w:val="00AA7784"/>
    <w:rsid w:val="00AB11E7"/>
    <w:rsid w:val="00AB55D0"/>
    <w:rsid w:val="00AB56FB"/>
    <w:rsid w:val="00AB60F8"/>
    <w:rsid w:val="00AB6EB6"/>
    <w:rsid w:val="00AC2D2E"/>
    <w:rsid w:val="00AC301A"/>
    <w:rsid w:val="00AC3246"/>
    <w:rsid w:val="00AC3317"/>
    <w:rsid w:val="00AC35D7"/>
    <w:rsid w:val="00AC611F"/>
    <w:rsid w:val="00AC6B73"/>
    <w:rsid w:val="00AC6F1A"/>
    <w:rsid w:val="00AC74AE"/>
    <w:rsid w:val="00AD192B"/>
    <w:rsid w:val="00AD438F"/>
    <w:rsid w:val="00AD4766"/>
    <w:rsid w:val="00AD7006"/>
    <w:rsid w:val="00AD7780"/>
    <w:rsid w:val="00AE02D5"/>
    <w:rsid w:val="00AE0937"/>
    <w:rsid w:val="00AE0A4F"/>
    <w:rsid w:val="00AE2347"/>
    <w:rsid w:val="00AE3109"/>
    <w:rsid w:val="00AE32A1"/>
    <w:rsid w:val="00AE4129"/>
    <w:rsid w:val="00AE529B"/>
    <w:rsid w:val="00AE649F"/>
    <w:rsid w:val="00AE6E76"/>
    <w:rsid w:val="00AF02AD"/>
    <w:rsid w:val="00AF291D"/>
    <w:rsid w:val="00AF30DD"/>
    <w:rsid w:val="00AF581C"/>
    <w:rsid w:val="00AF5C27"/>
    <w:rsid w:val="00AF613D"/>
    <w:rsid w:val="00AF6A7E"/>
    <w:rsid w:val="00AF7313"/>
    <w:rsid w:val="00B01D46"/>
    <w:rsid w:val="00B03F3C"/>
    <w:rsid w:val="00B04E09"/>
    <w:rsid w:val="00B05431"/>
    <w:rsid w:val="00B06E7A"/>
    <w:rsid w:val="00B11E8E"/>
    <w:rsid w:val="00B1216D"/>
    <w:rsid w:val="00B154C8"/>
    <w:rsid w:val="00B1738C"/>
    <w:rsid w:val="00B21AC2"/>
    <w:rsid w:val="00B21BC8"/>
    <w:rsid w:val="00B21BE0"/>
    <w:rsid w:val="00B21D57"/>
    <w:rsid w:val="00B26138"/>
    <w:rsid w:val="00B26143"/>
    <w:rsid w:val="00B26B85"/>
    <w:rsid w:val="00B26C5E"/>
    <w:rsid w:val="00B3084C"/>
    <w:rsid w:val="00B329DF"/>
    <w:rsid w:val="00B34A5D"/>
    <w:rsid w:val="00B361A5"/>
    <w:rsid w:val="00B36583"/>
    <w:rsid w:val="00B372DE"/>
    <w:rsid w:val="00B37394"/>
    <w:rsid w:val="00B4292D"/>
    <w:rsid w:val="00B42D14"/>
    <w:rsid w:val="00B46951"/>
    <w:rsid w:val="00B52E35"/>
    <w:rsid w:val="00B5320A"/>
    <w:rsid w:val="00B53E3D"/>
    <w:rsid w:val="00B5583D"/>
    <w:rsid w:val="00B57119"/>
    <w:rsid w:val="00B60727"/>
    <w:rsid w:val="00B63F94"/>
    <w:rsid w:val="00B64DE9"/>
    <w:rsid w:val="00B65206"/>
    <w:rsid w:val="00B66D3D"/>
    <w:rsid w:val="00B67759"/>
    <w:rsid w:val="00B70F40"/>
    <w:rsid w:val="00B71560"/>
    <w:rsid w:val="00B71E95"/>
    <w:rsid w:val="00B73120"/>
    <w:rsid w:val="00B7599E"/>
    <w:rsid w:val="00B761BB"/>
    <w:rsid w:val="00B80DFC"/>
    <w:rsid w:val="00B80EDE"/>
    <w:rsid w:val="00B84254"/>
    <w:rsid w:val="00B859B8"/>
    <w:rsid w:val="00B87988"/>
    <w:rsid w:val="00B87B37"/>
    <w:rsid w:val="00B90574"/>
    <w:rsid w:val="00B90ABB"/>
    <w:rsid w:val="00B90CBD"/>
    <w:rsid w:val="00B92E98"/>
    <w:rsid w:val="00B9528F"/>
    <w:rsid w:val="00B9529C"/>
    <w:rsid w:val="00B9543F"/>
    <w:rsid w:val="00B9553B"/>
    <w:rsid w:val="00BA3397"/>
    <w:rsid w:val="00BA36A3"/>
    <w:rsid w:val="00BA606B"/>
    <w:rsid w:val="00BA78B0"/>
    <w:rsid w:val="00BA7DC3"/>
    <w:rsid w:val="00BB3ECA"/>
    <w:rsid w:val="00BB40B8"/>
    <w:rsid w:val="00BB471C"/>
    <w:rsid w:val="00BB5F5E"/>
    <w:rsid w:val="00BB61E6"/>
    <w:rsid w:val="00BB62E8"/>
    <w:rsid w:val="00BB6415"/>
    <w:rsid w:val="00BB767C"/>
    <w:rsid w:val="00BC045F"/>
    <w:rsid w:val="00BC12CD"/>
    <w:rsid w:val="00BC144C"/>
    <w:rsid w:val="00BC1890"/>
    <w:rsid w:val="00BC229A"/>
    <w:rsid w:val="00BC5C4C"/>
    <w:rsid w:val="00BC6B83"/>
    <w:rsid w:val="00BC6DAD"/>
    <w:rsid w:val="00BD1145"/>
    <w:rsid w:val="00BD2189"/>
    <w:rsid w:val="00BD2936"/>
    <w:rsid w:val="00BD40F4"/>
    <w:rsid w:val="00BD5772"/>
    <w:rsid w:val="00BD7565"/>
    <w:rsid w:val="00BE174B"/>
    <w:rsid w:val="00BE2A3D"/>
    <w:rsid w:val="00BE3611"/>
    <w:rsid w:val="00BE5099"/>
    <w:rsid w:val="00BE53FC"/>
    <w:rsid w:val="00BE573A"/>
    <w:rsid w:val="00BE63C9"/>
    <w:rsid w:val="00BE79E6"/>
    <w:rsid w:val="00BF2A99"/>
    <w:rsid w:val="00BF2B76"/>
    <w:rsid w:val="00BF303D"/>
    <w:rsid w:val="00BF3D62"/>
    <w:rsid w:val="00BF3FF4"/>
    <w:rsid w:val="00BF5678"/>
    <w:rsid w:val="00BF6518"/>
    <w:rsid w:val="00BF7FC6"/>
    <w:rsid w:val="00C01DA2"/>
    <w:rsid w:val="00C020F9"/>
    <w:rsid w:val="00C0383A"/>
    <w:rsid w:val="00C03FE1"/>
    <w:rsid w:val="00C048B1"/>
    <w:rsid w:val="00C0539B"/>
    <w:rsid w:val="00C056EE"/>
    <w:rsid w:val="00C05C8D"/>
    <w:rsid w:val="00C05CB7"/>
    <w:rsid w:val="00C07B14"/>
    <w:rsid w:val="00C1063E"/>
    <w:rsid w:val="00C10713"/>
    <w:rsid w:val="00C117A2"/>
    <w:rsid w:val="00C131FB"/>
    <w:rsid w:val="00C15341"/>
    <w:rsid w:val="00C20E1F"/>
    <w:rsid w:val="00C21258"/>
    <w:rsid w:val="00C215E3"/>
    <w:rsid w:val="00C234E3"/>
    <w:rsid w:val="00C37429"/>
    <w:rsid w:val="00C411E5"/>
    <w:rsid w:val="00C417AD"/>
    <w:rsid w:val="00C452B7"/>
    <w:rsid w:val="00C45A12"/>
    <w:rsid w:val="00C46DC8"/>
    <w:rsid w:val="00C500B1"/>
    <w:rsid w:val="00C500DE"/>
    <w:rsid w:val="00C51B02"/>
    <w:rsid w:val="00C51F56"/>
    <w:rsid w:val="00C53BA5"/>
    <w:rsid w:val="00C53E7F"/>
    <w:rsid w:val="00C53F5E"/>
    <w:rsid w:val="00C543EA"/>
    <w:rsid w:val="00C56C4B"/>
    <w:rsid w:val="00C577CE"/>
    <w:rsid w:val="00C60BB5"/>
    <w:rsid w:val="00C62FBC"/>
    <w:rsid w:val="00C630C0"/>
    <w:rsid w:val="00C65FAA"/>
    <w:rsid w:val="00C6749A"/>
    <w:rsid w:val="00C7312C"/>
    <w:rsid w:val="00C7317A"/>
    <w:rsid w:val="00C74A60"/>
    <w:rsid w:val="00C76857"/>
    <w:rsid w:val="00C77B4B"/>
    <w:rsid w:val="00C77FD7"/>
    <w:rsid w:val="00C81ECD"/>
    <w:rsid w:val="00C84EF2"/>
    <w:rsid w:val="00C8530A"/>
    <w:rsid w:val="00C8595C"/>
    <w:rsid w:val="00C8796E"/>
    <w:rsid w:val="00C87CFF"/>
    <w:rsid w:val="00C91EEF"/>
    <w:rsid w:val="00C92B04"/>
    <w:rsid w:val="00C93302"/>
    <w:rsid w:val="00C96476"/>
    <w:rsid w:val="00C966E5"/>
    <w:rsid w:val="00C9746E"/>
    <w:rsid w:val="00C97D01"/>
    <w:rsid w:val="00CA07E5"/>
    <w:rsid w:val="00CA124D"/>
    <w:rsid w:val="00CA2F94"/>
    <w:rsid w:val="00CA5643"/>
    <w:rsid w:val="00CA5CD4"/>
    <w:rsid w:val="00CB0602"/>
    <w:rsid w:val="00CB2706"/>
    <w:rsid w:val="00CB32BB"/>
    <w:rsid w:val="00CB53CC"/>
    <w:rsid w:val="00CB77AC"/>
    <w:rsid w:val="00CC02B6"/>
    <w:rsid w:val="00CC0515"/>
    <w:rsid w:val="00CC0BA0"/>
    <w:rsid w:val="00CC1EDA"/>
    <w:rsid w:val="00CC218A"/>
    <w:rsid w:val="00CC3230"/>
    <w:rsid w:val="00CC4394"/>
    <w:rsid w:val="00CC44AE"/>
    <w:rsid w:val="00CC5671"/>
    <w:rsid w:val="00CC68F4"/>
    <w:rsid w:val="00CC770D"/>
    <w:rsid w:val="00CD1E58"/>
    <w:rsid w:val="00CD3365"/>
    <w:rsid w:val="00CD471E"/>
    <w:rsid w:val="00CD482D"/>
    <w:rsid w:val="00CD48A2"/>
    <w:rsid w:val="00CD4FD0"/>
    <w:rsid w:val="00CD7A14"/>
    <w:rsid w:val="00CE0E5F"/>
    <w:rsid w:val="00CE2FCF"/>
    <w:rsid w:val="00CE318F"/>
    <w:rsid w:val="00CE5461"/>
    <w:rsid w:val="00CE6B10"/>
    <w:rsid w:val="00CE6C4B"/>
    <w:rsid w:val="00CF36D8"/>
    <w:rsid w:val="00CF43C8"/>
    <w:rsid w:val="00CF46D5"/>
    <w:rsid w:val="00CF4736"/>
    <w:rsid w:val="00CF7ADB"/>
    <w:rsid w:val="00D0033D"/>
    <w:rsid w:val="00D006B0"/>
    <w:rsid w:val="00D00BE4"/>
    <w:rsid w:val="00D02560"/>
    <w:rsid w:val="00D04121"/>
    <w:rsid w:val="00D051E7"/>
    <w:rsid w:val="00D0793C"/>
    <w:rsid w:val="00D07B26"/>
    <w:rsid w:val="00D111BB"/>
    <w:rsid w:val="00D1246C"/>
    <w:rsid w:val="00D12661"/>
    <w:rsid w:val="00D13E2C"/>
    <w:rsid w:val="00D14FF6"/>
    <w:rsid w:val="00D155CF"/>
    <w:rsid w:val="00D1702F"/>
    <w:rsid w:val="00D170E0"/>
    <w:rsid w:val="00D20EEA"/>
    <w:rsid w:val="00D229F0"/>
    <w:rsid w:val="00D23291"/>
    <w:rsid w:val="00D23533"/>
    <w:rsid w:val="00D24B67"/>
    <w:rsid w:val="00D25C54"/>
    <w:rsid w:val="00D338D3"/>
    <w:rsid w:val="00D33F03"/>
    <w:rsid w:val="00D360C6"/>
    <w:rsid w:val="00D365C0"/>
    <w:rsid w:val="00D40B48"/>
    <w:rsid w:val="00D42D0E"/>
    <w:rsid w:val="00D445DC"/>
    <w:rsid w:val="00D45287"/>
    <w:rsid w:val="00D4573D"/>
    <w:rsid w:val="00D46EEB"/>
    <w:rsid w:val="00D475F2"/>
    <w:rsid w:val="00D4768A"/>
    <w:rsid w:val="00D50683"/>
    <w:rsid w:val="00D5094C"/>
    <w:rsid w:val="00D519FF"/>
    <w:rsid w:val="00D5274E"/>
    <w:rsid w:val="00D53693"/>
    <w:rsid w:val="00D537A9"/>
    <w:rsid w:val="00D547AC"/>
    <w:rsid w:val="00D5490A"/>
    <w:rsid w:val="00D55357"/>
    <w:rsid w:val="00D557A0"/>
    <w:rsid w:val="00D562FA"/>
    <w:rsid w:val="00D567DE"/>
    <w:rsid w:val="00D60A82"/>
    <w:rsid w:val="00D61169"/>
    <w:rsid w:val="00D6122C"/>
    <w:rsid w:val="00D61F43"/>
    <w:rsid w:val="00D63F07"/>
    <w:rsid w:val="00D654F0"/>
    <w:rsid w:val="00D664D5"/>
    <w:rsid w:val="00D66C0A"/>
    <w:rsid w:val="00D72E5B"/>
    <w:rsid w:val="00D745C3"/>
    <w:rsid w:val="00D75D8E"/>
    <w:rsid w:val="00D76FB8"/>
    <w:rsid w:val="00D8053D"/>
    <w:rsid w:val="00D80B1A"/>
    <w:rsid w:val="00D828CE"/>
    <w:rsid w:val="00D83F62"/>
    <w:rsid w:val="00D85C6B"/>
    <w:rsid w:val="00D86DAC"/>
    <w:rsid w:val="00D90AE9"/>
    <w:rsid w:val="00D90CAD"/>
    <w:rsid w:val="00D92A5C"/>
    <w:rsid w:val="00D93747"/>
    <w:rsid w:val="00D93C60"/>
    <w:rsid w:val="00D93FCC"/>
    <w:rsid w:val="00D94365"/>
    <w:rsid w:val="00D94388"/>
    <w:rsid w:val="00D944F3"/>
    <w:rsid w:val="00D9534E"/>
    <w:rsid w:val="00D955F1"/>
    <w:rsid w:val="00DA2236"/>
    <w:rsid w:val="00DA2485"/>
    <w:rsid w:val="00DA3338"/>
    <w:rsid w:val="00DA4B47"/>
    <w:rsid w:val="00DA4D00"/>
    <w:rsid w:val="00DA5FB5"/>
    <w:rsid w:val="00DB307A"/>
    <w:rsid w:val="00DB441E"/>
    <w:rsid w:val="00DB4DA3"/>
    <w:rsid w:val="00DC1D5F"/>
    <w:rsid w:val="00DC1FAD"/>
    <w:rsid w:val="00DC20F9"/>
    <w:rsid w:val="00DC46F4"/>
    <w:rsid w:val="00DC56ED"/>
    <w:rsid w:val="00DC7F24"/>
    <w:rsid w:val="00DD08E7"/>
    <w:rsid w:val="00DD52DE"/>
    <w:rsid w:val="00DD7107"/>
    <w:rsid w:val="00DE28C4"/>
    <w:rsid w:val="00DE29A8"/>
    <w:rsid w:val="00DE4225"/>
    <w:rsid w:val="00DE6006"/>
    <w:rsid w:val="00DE7A57"/>
    <w:rsid w:val="00DE7C1A"/>
    <w:rsid w:val="00DF1747"/>
    <w:rsid w:val="00DF43EA"/>
    <w:rsid w:val="00DF52BC"/>
    <w:rsid w:val="00DF5FB1"/>
    <w:rsid w:val="00DF7393"/>
    <w:rsid w:val="00DF781B"/>
    <w:rsid w:val="00E009F3"/>
    <w:rsid w:val="00E00DDC"/>
    <w:rsid w:val="00E01FA7"/>
    <w:rsid w:val="00E0274F"/>
    <w:rsid w:val="00E0432C"/>
    <w:rsid w:val="00E048E5"/>
    <w:rsid w:val="00E061F3"/>
    <w:rsid w:val="00E07B26"/>
    <w:rsid w:val="00E07F21"/>
    <w:rsid w:val="00E13FB6"/>
    <w:rsid w:val="00E1487A"/>
    <w:rsid w:val="00E16DAB"/>
    <w:rsid w:val="00E2006D"/>
    <w:rsid w:val="00E22756"/>
    <w:rsid w:val="00E25815"/>
    <w:rsid w:val="00E26F1D"/>
    <w:rsid w:val="00E3140F"/>
    <w:rsid w:val="00E31A51"/>
    <w:rsid w:val="00E31F6C"/>
    <w:rsid w:val="00E3275C"/>
    <w:rsid w:val="00E33021"/>
    <w:rsid w:val="00E33342"/>
    <w:rsid w:val="00E3344C"/>
    <w:rsid w:val="00E339BB"/>
    <w:rsid w:val="00E35CC1"/>
    <w:rsid w:val="00E40738"/>
    <w:rsid w:val="00E42B06"/>
    <w:rsid w:val="00E43C88"/>
    <w:rsid w:val="00E45060"/>
    <w:rsid w:val="00E47625"/>
    <w:rsid w:val="00E535E4"/>
    <w:rsid w:val="00E543F8"/>
    <w:rsid w:val="00E55DD8"/>
    <w:rsid w:val="00E56F4D"/>
    <w:rsid w:val="00E57F4D"/>
    <w:rsid w:val="00E57FDC"/>
    <w:rsid w:val="00E600D2"/>
    <w:rsid w:val="00E60ED6"/>
    <w:rsid w:val="00E611C6"/>
    <w:rsid w:val="00E62037"/>
    <w:rsid w:val="00E64DD1"/>
    <w:rsid w:val="00E65773"/>
    <w:rsid w:val="00E65A5A"/>
    <w:rsid w:val="00E65DE3"/>
    <w:rsid w:val="00E6719F"/>
    <w:rsid w:val="00E726D8"/>
    <w:rsid w:val="00E72946"/>
    <w:rsid w:val="00E757E9"/>
    <w:rsid w:val="00E7593F"/>
    <w:rsid w:val="00E768F9"/>
    <w:rsid w:val="00E771B0"/>
    <w:rsid w:val="00E77F8A"/>
    <w:rsid w:val="00E8219A"/>
    <w:rsid w:val="00E829CB"/>
    <w:rsid w:val="00E8554D"/>
    <w:rsid w:val="00E859F8"/>
    <w:rsid w:val="00E875DE"/>
    <w:rsid w:val="00E87C9B"/>
    <w:rsid w:val="00E9018A"/>
    <w:rsid w:val="00E93090"/>
    <w:rsid w:val="00E93C34"/>
    <w:rsid w:val="00EA2BCA"/>
    <w:rsid w:val="00EA2C71"/>
    <w:rsid w:val="00EA7E56"/>
    <w:rsid w:val="00EB021E"/>
    <w:rsid w:val="00EB05ED"/>
    <w:rsid w:val="00EB0C4B"/>
    <w:rsid w:val="00EB0DC4"/>
    <w:rsid w:val="00EB0E52"/>
    <w:rsid w:val="00EB1F77"/>
    <w:rsid w:val="00EB506E"/>
    <w:rsid w:val="00EC63A7"/>
    <w:rsid w:val="00ED0D35"/>
    <w:rsid w:val="00ED1E20"/>
    <w:rsid w:val="00ED2FB9"/>
    <w:rsid w:val="00ED4C47"/>
    <w:rsid w:val="00ED4D48"/>
    <w:rsid w:val="00ED70B4"/>
    <w:rsid w:val="00EE2A0A"/>
    <w:rsid w:val="00EE2DA4"/>
    <w:rsid w:val="00EE4005"/>
    <w:rsid w:val="00EE4C19"/>
    <w:rsid w:val="00EE774B"/>
    <w:rsid w:val="00EF170D"/>
    <w:rsid w:val="00EF19BF"/>
    <w:rsid w:val="00EF23AC"/>
    <w:rsid w:val="00EF33E9"/>
    <w:rsid w:val="00EF36DF"/>
    <w:rsid w:val="00EF65C0"/>
    <w:rsid w:val="00EF7534"/>
    <w:rsid w:val="00EF7B68"/>
    <w:rsid w:val="00EF7BA0"/>
    <w:rsid w:val="00F00972"/>
    <w:rsid w:val="00F01B20"/>
    <w:rsid w:val="00F02047"/>
    <w:rsid w:val="00F032DB"/>
    <w:rsid w:val="00F0346D"/>
    <w:rsid w:val="00F03CD9"/>
    <w:rsid w:val="00F03F58"/>
    <w:rsid w:val="00F05511"/>
    <w:rsid w:val="00F06C75"/>
    <w:rsid w:val="00F0711F"/>
    <w:rsid w:val="00F0715F"/>
    <w:rsid w:val="00F071CD"/>
    <w:rsid w:val="00F10C7F"/>
    <w:rsid w:val="00F11612"/>
    <w:rsid w:val="00F124CD"/>
    <w:rsid w:val="00F127FE"/>
    <w:rsid w:val="00F1285B"/>
    <w:rsid w:val="00F14DB7"/>
    <w:rsid w:val="00F14F6E"/>
    <w:rsid w:val="00F20994"/>
    <w:rsid w:val="00F22C96"/>
    <w:rsid w:val="00F22ED1"/>
    <w:rsid w:val="00F24866"/>
    <w:rsid w:val="00F27225"/>
    <w:rsid w:val="00F30258"/>
    <w:rsid w:val="00F313E2"/>
    <w:rsid w:val="00F32B6C"/>
    <w:rsid w:val="00F361E3"/>
    <w:rsid w:val="00F401C9"/>
    <w:rsid w:val="00F407D9"/>
    <w:rsid w:val="00F41844"/>
    <w:rsid w:val="00F41E24"/>
    <w:rsid w:val="00F45A66"/>
    <w:rsid w:val="00F47A5A"/>
    <w:rsid w:val="00F504AD"/>
    <w:rsid w:val="00F51460"/>
    <w:rsid w:val="00F54EDC"/>
    <w:rsid w:val="00F60526"/>
    <w:rsid w:val="00F6130E"/>
    <w:rsid w:val="00F61EE2"/>
    <w:rsid w:val="00F625E4"/>
    <w:rsid w:val="00F64FC8"/>
    <w:rsid w:val="00F65C61"/>
    <w:rsid w:val="00F66421"/>
    <w:rsid w:val="00F67759"/>
    <w:rsid w:val="00F72551"/>
    <w:rsid w:val="00F73484"/>
    <w:rsid w:val="00F748B8"/>
    <w:rsid w:val="00F75069"/>
    <w:rsid w:val="00F75123"/>
    <w:rsid w:val="00F76090"/>
    <w:rsid w:val="00F77C8E"/>
    <w:rsid w:val="00F80464"/>
    <w:rsid w:val="00F8342E"/>
    <w:rsid w:val="00F83D75"/>
    <w:rsid w:val="00F8456D"/>
    <w:rsid w:val="00F847C6"/>
    <w:rsid w:val="00F87CC2"/>
    <w:rsid w:val="00F9063F"/>
    <w:rsid w:val="00F90B81"/>
    <w:rsid w:val="00F912E2"/>
    <w:rsid w:val="00F91DD6"/>
    <w:rsid w:val="00F9528D"/>
    <w:rsid w:val="00F96F2A"/>
    <w:rsid w:val="00F97818"/>
    <w:rsid w:val="00FA1933"/>
    <w:rsid w:val="00FA271F"/>
    <w:rsid w:val="00FA7E7A"/>
    <w:rsid w:val="00FB0E0E"/>
    <w:rsid w:val="00FB0EBD"/>
    <w:rsid w:val="00FB151D"/>
    <w:rsid w:val="00FB27E2"/>
    <w:rsid w:val="00FB2D03"/>
    <w:rsid w:val="00FB44B4"/>
    <w:rsid w:val="00FB44BC"/>
    <w:rsid w:val="00FB4F69"/>
    <w:rsid w:val="00FB5BC6"/>
    <w:rsid w:val="00FB73F4"/>
    <w:rsid w:val="00FB784C"/>
    <w:rsid w:val="00FC271A"/>
    <w:rsid w:val="00FC3252"/>
    <w:rsid w:val="00FC4899"/>
    <w:rsid w:val="00FC4A60"/>
    <w:rsid w:val="00FC532D"/>
    <w:rsid w:val="00FC7074"/>
    <w:rsid w:val="00FD0FA7"/>
    <w:rsid w:val="00FD3C9B"/>
    <w:rsid w:val="00FD3D7B"/>
    <w:rsid w:val="00FD4076"/>
    <w:rsid w:val="00FE0B80"/>
    <w:rsid w:val="00FE21DA"/>
    <w:rsid w:val="00FE2D09"/>
    <w:rsid w:val="00FE2E38"/>
    <w:rsid w:val="00FE37C0"/>
    <w:rsid w:val="00FE3E44"/>
    <w:rsid w:val="00FE4E97"/>
    <w:rsid w:val="00FE51E3"/>
    <w:rsid w:val="00FE5708"/>
    <w:rsid w:val="00FE570C"/>
    <w:rsid w:val="00FE5D7D"/>
    <w:rsid w:val="00FF1AE9"/>
    <w:rsid w:val="00FF1DE6"/>
    <w:rsid w:val="00FF44B7"/>
    <w:rsid w:val="00FF4EFD"/>
    <w:rsid w:val="00FF5CD6"/>
    <w:rsid w:val="00FF5E86"/>
    <w:rsid w:val="01040163"/>
    <w:rsid w:val="011A1AF1"/>
    <w:rsid w:val="01582E7D"/>
    <w:rsid w:val="016654B5"/>
    <w:rsid w:val="017B127B"/>
    <w:rsid w:val="01927DCE"/>
    <w:rsid w:val="019E64CE"/>
    <w:rsid w:val="020B3D8C"/>
    <w:rsid w:val="02365949"/>
    <w:rsid w:val="02674C34"/>
    <w:rsid w:val="028828FA"/>
    <w:rsid w:val="02911C34"/>
    <w:rsid w:val="02AF7535"/>
    <w:rsid w:val="02F83230"/>
    <w:rsid w:val="03060F81"/>
    <w:rsid w:val="0324263A"/>
    <w:rsid w:val="034D0993"/>
    <w:rsid w:val="034F6508"/>
    <w:rsid w:val="036A62A3"/>
    <w:rsid w:val="03AA6616"/>
    <w:rsid w:val="03B473C5"/>
    <w:rsid w:val="03C2760C"/>
    <w:rsid w:val="03DA6A40"/>
    <w:rsid w:val="03F47BCE"/>
    <w:rsid w:val="03F67A98"/>
    <w:rsid w:val="04032B23"/>
    <w:rsid w:val="042477AC"/>
    <w:rsid w:val="04284333"/>
    <w:rsid w:val="044622D2"/>
    <w:rsid w:val="047E2476"/>
    <w:rsid w:val="04861BE2"/>
    <w:rsid w:val="04902E6B"/>
    <w:rsid w:val="04AB197F"/>
    <w:rsid w:val="04CD5E27"/>
    <w:rsid w:val="04D94B9F"/>
    <w:rsid w:val="04F217BD"/>
    <w:rsid w:val="05217674"/>
    <w:rsid w:val="052A41BE"/>
    <w:rsid w:val="05324321"/>
    <w:rsid w:val="054114D1"/>
    <w:rsid w:val="05566241"/>
    <w:rsid w:val="055C6DD2"/>
    <w:rsid w:val="05654253"/>
    <w:rsid w:val="0578205D"/>
    <w:rsid w:val="059A745F"/>
    <w:rsid w:val="05DC476E"/>
    <w:rsid w:val="05E04B5C"/>
    <w:rsid w:val="05ED5411"/>
    <w:rsid w:val="061224C0"/>
    <w:rsid w:val="061E55D9"/>
    <w:rsid w:val="06297F98"/>
    <w:rsid w:val="06510766"/>
    <w:rsid w:val="06652887"/>
    <w:rsid w:val="06777943"/>
    <w:rsid w:val="067E2F3A"/>
    <w:rsid w:val="067F145B"/>
    <w:rsid w:val="06986829"/>
    <w:rsid w:val="06C64C99"/>
    <w:rsid w:val="06C80F0D"/>
    <w:rsid w:val="06D712BC"/>
    <w:rsid w:val="06E001E3"/>
    <w:rsid w:val="06EA321B"/>
    <w:rsid w:val="06FF01C2"/>
    <w:rsid w:val="070D78EE"/>
    <w:rsid w:val="070E5065"/>
    <w:rsid w:val="073F4D58"/>
    <w:rsid w:val="07527336"/>
    <w:rsid w:val="075E6CBB"/>
    <w:rsid w:val="07703D3B"/>
    <w:rsid w:val="077E1A2E"/>
    <w:rsid w:val="079C14D6"/>
    <w:rsid w:val="07B84231"/>
    <w:rsid w:val="07CB11D2"/>
    <w:rsid w:val="07CB3872"/>
    <w:rsid w:val="07CF4414"/>
    <w:rsid w:val="07D866D6"/>
    <w:rsid w:val="07E31B92"/>
    <w:rsid w:val="0812234E"/>
    <w:rsid w:val="081A7A8D"/>
    <w:rsid w:val="08251EAA"/>
    <w:rsid w:val="082C269F"/>
    <w:rsid w:val="08331FE7"/>
    <w:rsid w:val="083A404B"/>
    <w:rsid w:val="085D7BF2"/>
    <w:rsid w:val="08670714"/>
    <w:rsid w:val="088F4A14"/>
    <w:rsid w:val="089A2DDA"/>
    <w:rsid w:val="08B31906"/>
    <w:rsid w:val="08C63F1F"/>
    <w:rsid w:val="093108E2"/>
    <w:rsid w:val="093D3223"/>
    <w:rsid w:val="09632F96"/>
    <w:rsid w:val="09827E65"/>
    <w:rsid w:val="09850479"/>
    <w:rsid w:val="0988232B"/>
    <w:rsid w:val="09BD3FDF"/>
    <w:rsid w:val="09C37090"/>
    <w:rsid w:val="09C40C74"/>
    <w:rsid w:val="09C810AB"/>
    <w:rsid w:val="09D940AE"/>
    <w:rsid w:val="0A046EED"/>
    <w:rsid w:val="0A1E227E"/>
    <w:rsid w:val="0A20411F"/>
    <w:rsid w:val="0A212F61"/>
    <w:rsid w:val="0A2600FD"/>
    <w:rsid w:val="0A5636F6"/>
    <w:rsid w:val="0A615BFD"/>
    <w:rsid w:val="0A886720"/>
    <w:rsid w:val="0AA55524"/>
    <w:rsid w:val="0AE068BC"/>
    <w:rsid w:val="0AEC16D2"/>
    <w:rsid w:val="0B12749D"/>
    <w:rsid w:val="0B14213D"/>
    <w:rsid w:val="0B2B77D7"/>
    <w:rsid w:val="0B4120B4"/>
    <w:rsid w:val="0B5E52FB"/>
    <w:rsid w:val="0B626029"/>
    <w:rsid w:val="0B8031F9"/>
    <w:rsid w:val="0BC154F9"/>
    <w:rsid w:val="0BF544FB"/>
    <w:rsid w:val="0C110653"/>
    <w:rsid w:val="0C255B60"/>
    <w:rsid w:val="0C3703FE"/>
    <w:rsid w:val="0C9F4668"/>
    <w:rsid w:val="0CB238DD"/>
    <w:rsid w:val="0CC435E9"/>
    <w:rsid w:val="0CD53F5E"/>
    <w:rsid w:val="0CD639AC"/>
    <w:rsid w:val="0CDD6CA7"/>
    <w:rsid w:val="0D0450C6"/>
    <w:rsid w:val="0D0F029F"/>
    <w:rsid w:val="0D1C0FF4"/>
    <w:rsid w:val="0D214163"/>
    <w:rsid w:val="0D270D1A"/>
    <w:rsid w:val="0D3B782C"/>
    <w:rsid w:val="0D3C5DF1"/>
    <w:rsid w:val="0D68689C"/>
    <w:rsid w:val="0D8644FE"/>
    <w:rsid w:val="0D9231F2"/>
    <w:rsid w:val="0D9870B2"/>
    <w:rsid w:val="0DB90BFE"/>
    <w:rsid w:val="0DCB4633"/>
    <w:rsid w:val="0DD215EC"/>
    <w:rsid w:val="0DDC53E5"/>
    <w:rsid w:val="0DDE389B"/>
    <w:rsid w:val="0E267409"/>
    <w:rsid w:val="0E693BA6"/>
    <w:rsid w:val="0E744560"/>
    <w:rsid w:val="0E7C2AD5"/>
    <w:rsid w:val="0E9B2EC6"/>
    <w:rsid w:val="0EBC032B"/>
    <w:rsid w:val="0EDB6E2A"/>
    <w:rsid w:val="0F021B90"/>
    <w:rsid w:val="0F040DF2"/>
    <w:rsid w:val="0F2C341A"/>
    <w:rsid w:val="0F2E6256"/>
    <w:rsid w:val="0F590713"/>
    <w:rsid w:val="0F606BED"/>
    <w:rsid w:val="0F6C5CAE"/>
    <w:rsid w:val="0F8F1445"/>
    <w:rsid w:val="0FA206BF"/>
    <w:rsid w:val="0FAC7CAB"/>
    <w:rsid w:val="0FB83BD8"/>
    <w:rsid w:val="0FC86066"/>
    <w:rsid w:val="0FE81576"/>
    <w:rsid w:val="0FEC67B7"/>
    <w:rsid w:val="0FF27D57"/>
    <w:rsid w:val="0FFC6117"/>
    <w:rsid w:val="102408FF"/>
    <w:rsid w:val="105A630D"/>
    <w:rsid w:val="10654068"/>
    <w:rsid w:val="10901266"/>
    <w:rsid w:val="109B53FF"/>
    <w:rsid w:val="10A36578"/>
    <w:rsid w:val="10A36F5B"/>
    <w:rsid w:val="10A926CB"/>
    <w:rsid w:val="10B335AB"/>
    <w:rsid w:val="10BC08DF"/>
    <w:rsid w:val="10DA44B0"/>
    <w:rsid w:val="11100D71"/>
    <w:rsid w:val="11155186"/>
    <w:rsid w:val="11623721"/>
    <w:rsid w:val="11982F14"/>
    <w:rsid w:val="11DD30AA"/>
    <w:rsid w:val="11DE1F8F"/>
    <w:rsid w:val="11E35296"/>
    <w:rsid w:val="11F65C49"/>
    <w:rsid w:val="120C1B55"/>
    <w:rsid w:val="121111BD"/>
    <w:rsid w:val="127B2ED6"/>
    <w:rsid w:val="12AC6E81"/>
    <w:rsid w:val="12B47B20"/>
    <w:rsid w:val="12C9273E"/>
    <w:rsid w:val="12DE15D3"/>
    <w:rsid w:val="12F36293"/>
    <w:rsid w:val="12F5116A"/>
    <w:rsid w:val="130465B1"/>
    <w:rsid w:val="130E2B01"/>
    <w:rsid w:val="133D6B21"/>
    <w:rsid w:val="133E774F"/>
    <w:rsid w:val="13571A9F"/>
    <w:rsid w:val="13742176"/>
    <w:rsid w:val="13802B86"/>
    <w:rsid w:val="13877E44"/>
    <w:rsid w:val="139126AB"/>
    <w:rsid w:val="139D53D0"/>
    <w:rsid w:val="13A13A11"/>
    <w:rsid w:val="13A95A68"/>
    <w:rsid w:val="13B42918"/>
    <w:rsid w:val="13BA0E20"/>
    <w:rsid w:val="13BB5B15"/>
    <w:rsid w:val="14147B0F"/>
    <w:rsid w:val="146476C5"/>
    <w:rsid w:val="147871AD"/>
    <w:rsid w:val="1478756C"/>
    <w:rsid w:val="14943255"/>
    <w:rsid w:val="14CD02EA"/>
    <w:rsid w:val="14D23EB2"/>
    <w:rsid w:val="150C26CF"/>
    <w:rsid w:val="151B685C"/>
    <w:rsid w:val="154A7A43"/>
    <w:rsid w:val="15522D76"/>
    <w:rsid w:val="15A46ACF"/>
    <w:rsid w:val="15AE7F14"/>
    <w:rsid w:val="15B97FD3"/>
    <w:rsid w:val="15BF56EC"/>
    <w:rsid w:val="15D31D52"/>
    <w:rsid w:val="15D32E19"/>
    <w:rsid w:val="15F420F5"/>
    <w:rsid w:val="15F66C34"/>
    <w:rsid w:val="15F7670D"/>
    <w:rsid w:val="1630150A"/>
    <w:rsid w:val="163333C9"/>
    <w:rsid w:val="16335E07"/>
    <w:rsid w:val="16522B0E"/>
    <w:rsid w:val="16727C48"/>
    <w:rsid w:val="167E17CA"/>
    <w:rsid w:val="16893F4C"/>
    <w:rsid w:val="169E6E26"/>
    <w:rsid w:val="16B103A7"/>
    <w:rsid w:val="16EB398C"/>
    <w:rsid w:val="1716368C"/>
    <w:rsid w:val="1726179A"/>
    <w:rsid w:val="173A2E01"/>
    <w:rsid w:val="17497F7D"/>
    <w:rsid w:val="178665E1"/>
    <w:rsid w:val="17BD5E6F"/>
    <w:rsid w:val="18003510"/>
    <w:rsid w:val="182362E4"/>
    <w:rsid w:val="185B6551"/>
    <w:rsid w:val="186E4682"/>
    <w:rsid w:val="187118C1"/>
    <w:rsid w:val="18982224"/>
    <w:rsid w:val="18A13715"/>
    <w:rsid w:val="18B247A2"/>
    <w:rsid w:val="18CA5FAB"/>
    <w:rsid w:val="1918163D"/>
    <w:rsid w:val="1931392E"/>
    <w:rsid w:val="19512EE3"/>
    <w:rsid w:val="196F6618"/>
    <w:rsid w:val="197B7862"/>
    <w:rsid w:val="19C4166E"/>
    <w:rsid w:val="19DC65A4"/>
    <w:rsid w:val="19EC770B"/>
    <w:rsid w:val="19F3005A"/>
    <w:rsid w:val="1A242F39"/>
    <w:rsid w:val="1A3F4B89"/>
    <w:rsid w:val="1A44663E"/>
    <w:rsid w:val="1A655485"/>
    <w:rsid w:val="1A6C6F35"/>
    <w:rsid w:val="1A840F7B"/>
    <w:rsid w:val="1AB009EE"/>
    <w:rsid w:val="1AF35A76"/>
    <w:rsid w:val="1AF7383F"/>
    <w:rsid w:val="1B0B795D"/>
    <w:rsid w:val="1B0E23B7"/>
    <w:rsid w:val="1B1B2A76"/>
    <w:rsid w:val="1B755B19"/>
    <w:rsid w:val="1B990131"/>
    <w:rsid w:val="1B9A760A"/>
    <w:rsid w:val="1BAD7EA3"/>
    <w:rsid w:val="1BE678CF"/>
    <w:rsid w:val="1BEB731A"/>
    <w:rsid w:val="1C1918CE"/>
    <w:rsid w:val="1C384BFA"/>
    <w:rsid w:val="1C594FB9"/>
    <w:rsid w:val="1CB33FF4"/>
    <w:rsid w:val="1CBF5484"/>
    <w:rsid w:val="1CE4784B"/>
    <w:rsid w:val="1CE852ED"/>
    <w:rsid w:val="1CFA3D2E"/>
    <w:rsid w:val="1D084161"/>
    <w:rsid w:val="1D2B32BB"/>
    <w:rsid w:val="1D396476"/>
    <w:rsid w:val="1D5F4A6C"/>
    <w:rsid w:val="1D6A3B6D"/>
    <w:rsid w:val="1D8A2A83"/>
    <w:rsid w:val="1DA30650"/>
    <w:rsid w:val="1DAD7BD7"/>
    <w:rsid w:val="1DD306E4"/>
    <w:rsid w:val="1DE560CC"/>
    <w:rsid w:val="1DEC6FBF"/>
    <w:rsid w:val="1DF6491A"/>
    <w:rsid w:val="1DFC71C2"/>
    <w:rsid w:val="1E150618"/>
    <w:rsid w:val="1E195BB5"/>
    <w:rsid w:val="1E204615"/>
    <w:rsid w:val="1E380CBE"/>
    <w:rsid w:val="1E751415"/>
    <w:rsid w:val="1EA174FD"/>
    <w:rsid w:val="1EBC3110"/>
    <w:rsid w:val="1EBD5FA4"/>
    <w:rsid w:val="1EE24276"/>
    <w:rsid w:val="1F036751"/>
    <w:rsid w:val="1F182311"/>
    <w:rsid w:val="1F223DB8"/>
    <w:rsid w:val="1F240CB5"/>
    <w:rsid w:val="1F4B4494"/>
    <w:rsid w:val="1F9C1A98"/>
    <w:rsid w:val="1FA24DBE"/>
    <w:rsid w:val="1FA51DDD"/>
    <w:rsid w:val="1FCB2EDF"/>
    <w:rsid w:val="1FEA15B7"/>
    <w:rsid w:val="1FEE5872"/>
    <w:rsid w:val="200472E3"/>
    <w:rsid w:val="202C29B2"/>
    <w:rsid w:val="20373013"/>
    <w:rsid w:val="205667D2"/>
    <w:rsid w:val="2070626F"/>
    <w:rsid w:val="207C630C"/>
    <w:rsid w:val="209361F3"/>
    <w:rsid w:val="209C291D"/>
    <w:rsid w:val="20B57B08"/>
    <w:rsid w:val="20C579CD"/>
    <w:rsid w:val="20D07079"/>
    <w:rsid w:val="20F55672"/>
    <w:rsid w:val="20F756C9"/>
    <w:rsid w:val="210F4761"/>
    <w:rsid w:val="21686AE6"/>
    <w:rsid w:val="21957AC2"/>
    <w:rsid w:val="21D15BDE"/>
    <w:rsid w:val="21D834E6"/>
    <w:rsid w:val="21E147B8"/>
    <w:rsid w:val="21E70B77"/>
    <w:rsid w:val="22087416"/>
    <w:rsid w:val="223A6918"/>
    <w:rsid w:val="22406153"/>
    <w:rsid w:val="22675748"/>
    <w:rsid w:val="227E3B37"/>
    <w:rsid w:val="229E61FE"/>
    <w:rsid w:val="22B820F0"/>
    <w:rsid w:val="22BB4FAD"/>
    <w:rsid w:val="22C00E62"/>
    <w:rsid w:val="22E440F1"/>
    <w:rsid w:val="22E73C46"/>
    <w:rsid w:val="22EC5646"/>
    <w:rsid w:val="22F447D7"/>
    <w:rsid w:val="23287B54"/>
    <w:rsid w:val="236C584B"/>
    <w:rsid w:val="23806187"/>
    <w:rsid w:val="23807620"/>
    <w:rsid w:val="23C11A88"/>
    <w:rsid w:val="23D639D8"/>
    <w:rsid w:val="23E51EB2"/>
    <w:rsid w:val="23F52C20"/>
    <w:rsid w:val="2406098A"/>
    <w:rsid w:val="24082954"/>
    <w:rsid w:val="247B33E9"/>
    <w:rsid w:val="247D4E92"/>
    <w:rsid w:val="24950967"/>
    <w:rsid w:val="24C12596"/>
    <w:rsid w:val="24D05044"/>
    <w:rsid w:val="25306D27"/>
    <w:rsid w:val="25323CE3"/>
    <w:rsid w:val="254528D3"/>
    <w:rsid w:val="258E0A41"/>
    <w:rsid w:val="25A44FDE"/>
    <w:rsid w:val="25AC47DD"/>
    <w:rsid w:val="25BF3437"/>
    <w:rsid w:val="25CD3E2F"/>
    <w:rsid w:val="25CE154E"/>
    <w:rsid w:val="25CE605F"/>
    <w:rsid w:val="25CF2EE1"/>
    <w:rsid w:val="25D63CC2"/>
    <w:rsid w:val="25D70D7B"/>
    <w:rsid w:val="25DA7FD5"/>
    <w:rsid w:val="25E24B1F"/>
    <w:rsid w:val="261269E3"/>
    <w:rsid w:val="261A79A9"/>
    <w:rsid w:val="26600E23"/>
    <w:rsid w:val="267233A5"/>
    <w:rsid w:val="267920AB"/>
    <w:rsid w:val="26A12F6D"/>
    <w:rsid w:val="26AB4F40"/>
    <w:rsid w:val="26AB5818"/>
    <w:rsid w:val="26CA45F5"/>
    <w:rsid w:val="26D80329"/>
    <w:rsid w:val="26DA294D"/>
    <w:rsid w:val="26ED24D5"/>
    <w:rsid w:val="26FD2518"/>
    <w:rsid w:val="27221828"/>
    <w:rsid w:val="27365AC8"/>
    <w:rsid w:val="27636F05"/>
    <w:rsid w:val="27663AD0"/>
    <w:rsid w:val="27A05292"/>
    <w:rsid w:val="27BA5987"/>
    <w:rsid w:val="27DF3F77"/>
    <w:rsid w:val="27FE2F69"/>
    <w:rsid w:val="282F3CB6"/>
    <w:rsid w:val="287700A8"/>
    <w:rsid w:val="28850779"/>
    <w:rsid w:val="288D33CE"/>
    <w:rsid w:val="28AF0613"/>
    <w:rsid w:val="28B5453D"/>
    <w:rsid w:val="28B65CDE"/>
    <w:rsid w:val="28B9421C"/>
    <w:rsid w:val="28D41056"/>
    <w:rsid w:val="29170DA6"/>
    <w:rsid w:val="292F76D2"/>
    <w:rsid w:val="295919B0"/>
    <w:rsid w:val="295D2210"/>
    <w:rsid w:val="29644F53"/>
    <w:rsid w:val="29692D75"/>
    <w:rsid w:val="29702C91"/>
    <w:rsid w:val="299C4AE6"/>
    <w:rsid w:val="29DE545C"/>
    <w:rsid w:val="29E50799"/>
    <w:rsid w:val="29E9516D"/>
    <w:rsid w:val="29F574D6"/>
    <w:rsid w:val="29F9204E"/>
    <w:rsid w:val="2A150EB7"/>
    <w:rsid w:val="2A21175D"/>
    <w:rsid w:val="2A211790"/>
    <w:rsid w:val="2A3C3B91"/>
    <w:rsid w:val="2A5B3FA5"/>
    <w:rsid w:val="2A640912"/>
    <w:rsid w:val="2A862824"/>
    <w:rsid w:val="2A8C44E4"/>
    <w:rsid w:val="2A9721C8"/>
    <w:rsid w:val="2A9776D0"/>
    <w:rsid w:val="2ACA3059"/>
    <w:rsid w:val="2AE117CA"/>
    <w:rsid w:val="2AE16980"/>
    <w:rsid w:val="2AE412F9"/>
    <w:rsid w:val="2AF07C9E"/>
    <w:rsid w:val="2AF56288"/>
    <w:rsid w:val="2AFE62CA"/>
    <w:rsid w:val="2B213A80"/>
    <w:rsid w:val="2B2E3220"/>
    <w:rsid w:val="2B3207F8"/>
    <w:rsid w:val="2B4006B2"/>
    <w:rsid w:val="2B6743B8"/>
    <w:rsid w:val="2B695B95"/>
    <w:rsid w:val="2BA842E3"/>
    <w:rsid w:val="2BCB0E9C"/>
    <w:rsid w:val="2BCD0144"/>
    <w:rsid w:val="2BE14E17"/>
    <w:rsid w:val="2BEE242F"/>
    <w:rsid w:val="2C093826"/>
    <w:rsid w:val="2C0A2007"/>
    <w:rsid w:val="2C8E1E21"/>
    <w:rsid w:val="2CB82A3D"/>
    <w:rsid w:val="2CB959B8"/>
    <w:rsid w:val="2CBE068F"/>
    <w:rsid w:val="2CD51841"/>
    <w:rsid w:val="2CE33F5E"/>
    <w:rsid w:val="2D091AF9"/>
    <w:rsid w:val="2D3252A7"/>
    <w:rsid w:val="2D3B5B48"/>
    <w:rsid w:val="2D5D7582"/>
    <w:rsid w:val="2D857B89"/>
    <w:rsid w:val="2DE773EA"/>
    <w:rsid w:val="2DF86893"/>
    <w:rsid w:val="2DFE75F8"/>
    <w:rsid w:val="2E12029D"/>
    <w:rsid w:val="2E3963CF"/>
    <w:rsid w:val="2E4B02EB"/>
    <w:rsid w:val="2E7330BF"/>
    <w:rsid w:val="2EAE20E8"/>
    <w:rsid w:val="2EC1207D"/>
    <w:rsid w:val="2EDA7E2D"/>
    <w:rsid w:val="2EF40EB2"/>
    <w:rsid w:val="2F296911"/>
    <w:rsid w:val="2F331057"/>
    <w:rsid w:val="2F566082"/>
    <w:rsid w:val="2F594738"/>
    <w:rsid w:val="2F7278D7"/>
    <w:rsid w:val="2F8F7986"/>
    <w:rsid w:val="2F916272"/>
    <w:rsid w:val="2FB6444E"/>
    <w:rsid w:val="30292755"/>
    <w:rsid w:val="303845C1"/>
    <w:rsid w:val="3051141F"/>
    <w:rsid w:val="30703D5A"/>
    <w:rsid w:val="30795484"/>
    <w:rsid w:val="307A456B"/>
    <w:rsid w:val="30C508DF"/>
    <w:rsid w:val="30E175C9"/>
    <w:rsid w:val="30ED47F3"/>
    <w:rsid w:val="30FF7C48"/>
    <w:rsid w:val="312111BB"/>
    <w:rsid w:val="31280191"/>
    <w:rsid w:val="313C06C8"/>
    <w:rsid w:val="3159659F"/>
    <w:rsid w:val="31614825"/>
    <w:rsid w:val="31682E89"/>
    <w:rsid w:val="316C3FFC"/>
    <w:rsid w:val="31E57813"/>
    <w:rsid w:val="31F2254D"/>
    <w:rsid w:val="31FC6503"/>
    <w:rsid w:val="3202512F"/>
    <w:rsid w:val="32235104"/>
    <w:rsid w:val="322F5355"/>
    <w:rsid w:val="323209B1"/>
    <w:rsid w:val="325925CC"/>
    <w:rsid w:val="32592711"/>
    <w:rsid w:val="326805FC"/>
    <w:rsid w:val="326911DF"/>
    <w:rsid w:val="327B7592"/>
    <w:rsid w:val="32807B1F"/>
    <w:rsid w:val="32880B4E"/>
    <w:rsid w:val="32885959"/>
    <w:rsid w:val="32985D27"/>
    <w:rsid w:val="32990C1B"/>
    <w:rsid w:val="329A57F3"/>
    <w:rsid w:val="32A008DE"/>
    <w:rsid w:val="32A45F7B"/>
    <w:rsid w:val="32AB3A32"/>
    <w:rsid w:val="32BA306B"/>
    <w:rsid w:val="32CE3036"/>
    <w:rsid w:val="32DD6809"/>
    <w:rsid w:val="330A1BE7"/>
    <w:rsid w:val="3327665F"/>
    <w:rsid w:val="33427590"/>
    <w:rsid w:val="3356000C"/>
    <w:rsid w:val="336E2E5B"/>
    <w:rsid w:val="336F464A"/>
    <w:rsid w:val="33795E56"/>
    <w:rsid w:val="338B5271"/>
    <w:rsid w:val="339A2E9C"/>
    <w:rsid w:val="33CA6F88"/>
    <w:rsid w:val="33ED44F7"/>
    <w:rsid w:val="33F46A50"/>
    <w:rsid w:val="340776EB"/>
    <w:rsid w:val="341E3ACD"/>
    <w:rsid w:val="3437354F"/>
    <w:rsid w:val="343D5A71"/>
    <w:rsid w:val="344165C4"/>
    <w:rsid w:val="344A3197"/>
    <w:rsid w:val="346B0F5D"/>
    <w:rsid w:val="348E47AF"/>
    <w:rsid w:val="34B90F13"/>
    <w:rsid w:val="34BD5A53"/>
    <w:rsid w:val="34C81663"/>
    <w:rsid w:val="34E2392C"/>
    <w:rsid w:val="34F922E1"/>
    <w:rsid w:val="3502519D"/>
    <w:rsid w:val="35127E1B"/>
    <w:rsid w:val="35262C3A"/>
    <w:rsid w:val="35321D3C"/>
    <w:rsid w:val="353F5AA9"/>
    <w:rsid w:val="35656D09"/>
    <w:rsid w:val="357019F2"/>
    <w:rsid w:val="35900303"/>
    <w:rsid w:val="35906305"/>
    <w:rsid w:val="359D4BD7"/>
    <w:rsid w:val="35CA237F"/>
    <w:rsid w:val="35DC0CA5"/>
    <w:rsid w:val="35DF02A4"/>
    <w:rsid w:val="36105698"/>
    <w:rsid w:val="36186CE2"/>
    <w:rsid w:val="36220482"/>
    <w:rsid w:val="36347A42"/>
    <w:rsid w:val="3641176B"/>
    <w:rsid w:val="36757602"/>
    <w:rsid w:val="36C86448"/>
    <w:rsid w:val="36D20F4A"/>
    <w:rsid w:val="36D954F7"/>
    <w:rsid w:val="36E3574A"/>
    <w:rsid w:val="36F628E4"/>
    <w:rsid w:val="36F63A8F"/>
    <w:rsid w:val="3709265E"/>
    <w:rsid w:val="37377D62"/>
    <w:rsid w:val="37533253"/>
    <w:rsid w:val="37590C5A"/>
    <w:rsid w:val="37613DD8"/>
    <w:rsid w:val="37621F23"/>
    <w:rsid w:val="378325C5"/>
    <w:rsid w:val="378960C9"/>
    <w:rsid w:val="37A30775"/>
    <w:rsid w:val="37E20A77"/>
    <w:rsid w:val="37E45103"/>
    <w:rsid w:val="380C41F1"/>
    <w:rsid w:val="381C1040"/>
    <w:rsid w:val="38204EC4"/>
    <w:rsid w:val="38493AFD"/>
    <w:rsid w:val="385976B4"/>
    <w:rsid w:val="38751C49"/>
    <w:rsid w:val="387B4B56"/>
    <w:rsid w:val="38A45DC1"/>
    <w:rsid w:val="38F64E8A"/>
    <w:rsid w:val="390D0E71"/>
    <w:rsid w:val="391165E9"/>
    <w:rsid w:val="394B61E7"/>
    <w:rsid w:val="39867B07"/>
    <w:rsid w:val="39A13C4E"/>
    <w:rsid w:val="39AC16CA"/>
    <w:rsid w:val="39BF6E78"/>
    <w:rsid w:val="39D35FA4"/>
    <w:rsid w:val="39D54B2A"/>
    <w:rsid w:val="39FE38C4"/>
    <w:rsid w:val="3A091D0F"/>
    <w:rsid w:val="3A0D3BDC"/>
    <w:rsid w:val="3A121583"/>
    <w:rsid w:val="3A18736B"/>
    <w:rsid w:val="3A1A6BDA"/>
    <w:rsid w:val="3A226568"/>
    <w:rsid w:val="3A26548A"/>
    <w:rsid w:val="3A2E25FD"/>
    <w:rsid w:val="3A7C6D13"/>
    <w:rsid w:val="3A8C59E9"/>
    <w:rsid w:val="3AC0182B"/>
    <w:rsid w:val="3AD51FB5"/>
    <w:rsid w:val="3AE43C16"/>
    <w:rsid w:val="3AF75524"/>
    <w:rsid w:val="3B014253"/>
    <w:rsid w:val="3B577004"/>
    <w:rsid w:val="3B5B235C"/>
    <w:rsid w:val="3B9B4A38"/>
    <w:rsid w:val="3BA95475"/>
    <w:rsid w:val="3BB62253"/>
    <w:rsid w:val="3BED7F57"/>
    <w:rsid w:val="3C0733D7"/>
    <w:rsid w:val="3C194013"/>
    <w:rsid w:val="3C3E3974"/>
    <w:rsid w:val="3C6605B0"/>
    <w:rsid w:val="3C6D5B52"/>
    <w:rsid w:val="3C7439CD"/>
    <w:rsid w:val="3C8454DA"/>
    <w:rsid w:val="3C900312"/>
    <w:rsid w:val="3C942C43"/>
    <w:rsid w:val="3CCA24BF"/>
    <w:rsid w:val="3CE60F00"/>
    <w:rsid w:val="3CED3826"/>
    <w:rsid w:val="3CED77C9"/>
    <w:rsid w:val="3D2F4EA9"/>
    <w:rsid w:val="3D566EF1"/>
    <w:rsid w:val="3D5E07E6"/>
    <w:rsid w:val="3D662524"/>
    <w:rsid w:val="3D6E33D0"/>
    <w:rsid w:val="3D7F1F24"/>
    <w:rsid w:val="3D915310"/>
    <w:rsid w:val="3D941A13"/>
    <w:rsid w:val="3DB159B2"/>
    <w:rsid w:val="3DBF2F24"/>
    <w:rsid w:val="3DCD1D3F"/>
    <w:rsid w:val="3DDA2813"/>
    <w:rsid w:val="3DE10C01"/>
    <w:rsid w:val="3DE30EEF"/>
    <w:rsid w:val="3DE92F94"/>
    <w:rsid w:val="3DED4BD4"/>
    <w:rsid w:val="3DFA5509"/>
    <w:rsid w:val="3E303B2A"/>
    <w:rsid w:val="3E46520D"/>
    <w:rsid w:val="3E4C3454"/>
    <w:rsid w:val="3E5527E2"/>
    <w:rsid w:val="3E5F540E"/>
    <w:rsid w:val="3E801F8A"/>
    <w:rsid w:val="3E8941D0"/>
    <w:rsid w:val="3E895FE7"/>
    <w:rsid w:val="3E930B23"/>
    <w:rsid w:val="3EB43064"/>
    <w:rsid w:val="3EB9263F"/>
    <w:rsid w:val="3EC940B0"/>
    <w:rsid w:val="3EFC1DEF"/>
    <w:rsid w:val="3F113992"/>
    <w:rsid w:val="3F1735F3"/>
    <w:rsid w:val="3F232B89"/>
    <w:rsid w:val="3F285CC6"/>
    <w:rsid w:val="3F325F1A"/>
    <w:rsid w:val="3F3F252B"/>
    <w:rsid w:val="3F3F477A"/>
    <w:rsid w:val="3F7B76A8"/>
    <w:rsid w:val="3F8847BB"/>
    <w:rsid w:val="3FA74DE6"/>
    <w:rsid w:val="3FBB7DC2"/>
    <w:rsid w:val="3FCD5662"/>
    <w:rsid w:val="3FD31F17"/>
    <w:rsid w:val="3FF11902"/>
    <w:rsid w:val="3FF676AC"/>
    <w:rsid w:val="3FFB66EF"/>
    <w:rsid w:val="40155D85"/>
    <w:rsid w:val="401E17E1"/>
    <w:rsid w:val="402B4FBF"/>
    <w:rsid w:val="40441DBC"/>
    <w:rsid w:val="40526781"/>
    <w:rsid w:val="40706263"/>
    <w:rsid w:val="40834447"/>
    <w:rsid w:val="409F26AA"/>
    <w:rsid w:val="40A96E72"/>
    <w:rsid w:val="40B14878"/>
    <w:rsid w:val="40BC2E9A"/>
    <w:rsid w:val="40BE01CA"/>
    <w:rsid w:val="40C31C84"/>
    <w:rsid w:val="40C94DC1"/>
    <w:rsid w:val="40D65E03"/>
    <w:rsid w:val="40E20991"/>
    <w:rsid w:val="40EB7350"/>
    <w:rsid w:val="415B010F"/>
    <w:rsid w:val="416B198D"/>
    <w:rsid w:val="4184094C"/>
    <w:rsid w:val="41EE3CB4"/>
    <w:rsid w:val="420E10EA"/>
    <w:rsid w:val="42212403"/>
    <w:rsid w:val="423A7EDD"/>
    <w:rsid w:val="4241501E"/>
    <w:rsid w:val="424159A7"/>
    <w:rsid w:val="42D20E80"/>
    <w:rsid w:val="42EA1F28"/>
    <w:rsid w:val="42FE3746"/>
    <w:rsid w:val="430B3AD5"/>
    <w:rsid w:val="4333459F"/>
    <w:rsid w:val="43452E25"/>
    <w:rsid w:val="43511085"/>
    <w:rsid w:val="43853221"/>
    <w:rsid w:val="43923BC9"/>
    <w:rsid w:val="43AD4526"/>
    <w:rsid w:val="43D0401E"/>
    <w:rsid w:val="43D26872"/>
    <w:rsid w:val="43DA7EC0"/>
    <w:rsid w:val="444415CE"/>
    <w:rsid w:val="444C5967"/>
    <w:rsid w:val="4456581B"/>
    <w:rsid w:val="44720B5F"/>
    <w:rsid w:val="448214F5"/>
    <w:rsid w:val="44907BD9"/>
    <w:rsid w:val="44A913D8"/>
    <w:rsid w:val="44B53849"/>
    <w:rsid w:val="44DF1057"/>
    <w:rsid w:val="44E51300"/>
    <w:rsid w:val="45070D49"/>
    <w:rsid w:val="45071FD1"/>
    <w:rsid w:val="45341D02"/>
    <w:rsid w:val="45497F4B"/>
    <w:rsid w:val="456C79D7"/>
    <w:rsid w:val="45961901"/>
    <w:rsid w:val="45FA362B"/>
    <w:rsid w:val="46271F0E"/>
    <w:rsid w:val="463663F0"/>
    <w:rsid w:val="466F014B"/>
    <w:rsid w:val="469613F1"/>
    <w:rsid w:val="46E81B5C"/>
    <w:rsid w:val="46EC470E"/>
    <w:rsid w:val="46F54178"/>
    <w:rsid w:val="46F574F5"/>
    <w:rsid w:val="47092D9D"/>
    <w:rsid w:val="470F64A2"/>
    <w:rsid w:val="472435F0"/>
    <w:rsid w:val="475B2B47"/>
    <w:rsid w:val="47646808"/>
    <w:rsid w:val="476B4E24"/>
    <w:rsid w:val="4785255A"/>
    <w:rsid w:val="47990C86"/>
    <w:rsid w:val="47A95C60"/>
    <w:rsid w:val="47B42E99"/>
    <w:rsid w:val="47CC2E96"/>
    <w:rsid w:val="47CE2617"/>
    <w:rsid w:val="47D72BA2"/>
    <w:rsid w:val="47D82B1B"/>
    <w:rsid w:val="47E83E6C"/>
    <w:rsid w:val="47F95232"/>
    <w:rsid w:val="481C5BE4"/>
    <w:rsid w:val="481E240D"/>
    <w:rsid w:val="48477BA9"/>
    <w:rsid w:val="484E7296"/>
    <w:rsid w:val="4886400E"/>
    <w:rsid w:val="488B7A3F"/>
    <w:rsid w:val="488E7488"/>
    <w:rsid w:val="48A728ED"/>
    <w:rsid w:val="48C31B36"/>
    <w:rsid w:val="48E87AD7"/>
    <w:rsid w:val="48ED691E"/>
    <w:rsid w:val="48F55228"/>
    <w:rsid w:val="49366843"/>
    <w:rsid w:val="4937672B"/>
    <w:rsid w:val="495621A3"/>
    <w:rsid w:val="497460C2"/>
    <w:rsid w:val="49A966C4"/>
    <w:rsid w:val="49C1752E"/>
    <w:rsid w:val="49E020AD"/>
    <w:rsid w:val="49EA46ED"/>
    <w:rsid w:val="49FC225B"/>
    <w:rsid w:val="4A174F08"/>
    <w:rsid w:val="4A2C3F4F"/>
    <w:rsid w:val="4A3D38EF"/>
    <w:rsid w:val="4A5C0020"/>
    <w:rsid w:val="4A664DEE"/>
    <w:rsid w:val="4AC0121C"/>
    <w:rsid w:val="4ACE53E1"/>
    <w:rsid w:val="4ACF30EC"/>
    <w:rsid w:val="4AEB4C59"/>
    <w:rsid w:val="4AFE27DA"/>
    <w:rsid w:val="4B1508A7"/>
    <w:rsid w:val="4B4A6BB3"/>
    <w:rsid w:val="4B782A14"/>
    <w:rsid w:val="4B7B5575"/>
    <w:rsid w:val="4BC677FC"/>
    <w:rsid w:val="4BD209DD"/>
    <w:rsid w:val="4BD87DD8"/>
    <w:rsid w:val="4BE86A43"/>
    <w:rsid w:val="4BE97CC8"/>
    <w:rsid w:val="4BED5E07"/>
    <w:rsid w:val="4BFF796A"/>
    <w:rsid w:val="4C0E33CD"/>
    <w:rsid w:val="4C164719"/>
    <w:rsid w:val="4C2947B9"/>
    <w:rsid w:val="4C316325"/>
    <w:rsid w:val="4C356461"/>
    <w:rsid w:val="4C44714A"/>
    <w:rsid w:val="4C7D1539"/>
    <w:rsid w:val="4C9223A0"/>
    <w:rsid w:val="4CAA5DF2"/>
    <w:rsid w:val="4CC169B7"/>
    <w:rsid w:val="4CEA2347"/>
    <w:rsid w:val="4CFD207A"/>
    <w:rsid w:val="4D136705"/>
    <w:rsid w:val="4D2A5EAC"/>
    <w:rsid w:val="4D2B69E7"/>
    <w:rsid w:val="4D3E2A91"/>
    <w:rsid w:val="4D5F04FB"/>
    <w:rsid w:val="4D5F55A0"/>
    <w:rsid w:val="4D6B3F09"/>
    <w:rsid w:val="4D742968"/>
    <w:rsid w:val="4DC07D85"/>
    <w:rsid w:val="4DC958EE"/>
    <w:rsid w:val="4DD0784F"/>
    <w:rsid w:val="4DD15013"/>
    <w:rsid w:val="4DD62E68"/>
    <w:rsid w:val="4DDD7434"/>
    <w:rsid w:val="4DE176DE"/>
    <w:rsid w:val="4DE86676"/>
    <w:rsid w:val="4DEA5D34"/>
    <w:rsid w:val="4E073446"/>
    <w:rsid w:val="4E0E0303"/>
    <w:rsid w:val="4E0F7EB4"/>
    <w:rsid w:val="4E134C47"/>
    <w:rsid w:val="4E1E6414"/>
    <w:rsid w:val="4E254905"/>
    <w:rsid w:val="4E266AAF"/>
    <w:rsid w:val="4E295054"/>
    <w:rsid w:val="4E385160"/>
    <w:rsid w:val="4E984750"/>
    <w:rsid w:val="4E9C3B15"/>
    <w:rsid w:val="4ECD2C97"/>
    <w:rsid w:val="4F182706"/>
    <w:rsid w:val="4F254C0E"/>
    <w:rsid w:val="4F376E96"/>
    <w:rsid w:val="4F442AA6"/>
    <w:rsid w:val="4F743ADA"/>
    <w:rsid w:val="4F8A138B"/>
    <w:rsid w:val="4F9075C4"/>
    <w:rsid w:val="4F9C5C65"/>
    <w:rsid w:val="4FB235F0"/>
    <w:rsid w:val="4FD92F25"/>
    <w:rsid w:val="4FE319FB"/>
    <w:rsid w:val="50055E16"/>
    <w:rsid w:val="500C40FB"/>
    <w:rsid w:val="506D5769"/>
    <w:rsid w:val="50992DF3"/>
    <w:rsid w:val="50D2707A"/>
    <w:rsid w:val="510328B5"/>
    <w:rsid w:val="5117211F"/>
    <w:rsid w:val="512F5B9A"/>
    <w:rsid w:val="51453FF0"/>
    <w:rsid w:val="51580440"/>
    <w:rsid w:val="5164032A"/>
    <w:rsid w:val="51694981"/>
    <w:rsid w:val="5182109D"/>
    <w:rsid w:val="51AB5729"/>
    <w:rsid w:val="51B72017"/>
    <w:rsid w:val="51C52E38"/>
    <w:rsid w:val="51CD28E1"/>
    <w:rsid w:val="51D15FA2"/>
    <w:rsid w:val="51E365F1"/>
    <w:rsid w:val="52214A11"/>
    <w:rsid w:val="522A4F80"/>
    <w:rsid w:val="52452828"/>
    <w:rsid w:val="52574E91"/>
    <w:rsid w:val="525D6892"/>
    <w:rsid w:val="526A4A7A"/>
    <w:rsid w:val="526C5384"/>
    <w:rsid w:val="52740C89"/>
    <w:rsid w:val="528862D1"/>
    <w:rsid w:val="52901276"/>
    <w:rsid w:val="52953269"/>
    <w:rsid w:val="52A170B7"/>
    <w:rsid w:val="52A77DA1"/>
    <w:rsid w:val="53395334"/>
    <w:rsid w:val="534231A6"/>
    <w:rsid w:val="53490E74"/>
    <w:rsid w:val="53881311"/>
    <w:rsid w:val="538A03E0"/>
    <w:rsid w:val="539C4E4C"/>
    <w:rsid w:val="53BD49F5"/>
    <w:rsid w:val="53C07CF7"/>
    <w:rsid w:val="53C57444"/>
    <w:rsid w:val="53D247C4"/>
    <w:rsid w:val="54004A43"/>
    <w:rsid w:val="546B7846"/>
    <w:rsid w:val="54832F6F"/>
    <w:rsid w:val="54BE47A2"/>
    <w:rsid w:val="54C33844"/>
    <w:rsid w:val="550A5A2C"/>
    <w:rsid w:val="553D0C14"/>
    <w:rsid w:val="55506CDC"/>
    <w:rsid w:val="55582170"/>
    <w:rsid w:val="55B275D8"/>
    <w:rsid w:val="55BC2498"/>
    <w:rsid w:val="55C132BA"/>
    <w:rsid w:val="55C151DC"/>
    <w:rsid w:val="55C60543"/>
    <w:rsid w:val="55D83373"/>
    <w:rsid w:val="55FA5752"/>
    <w:rsid w:val="5613436F"/>
    <w:rsid w:val="5623059E"/>
    <w:rsid w:val="562D3306"/>
    <w:rsid w:val="564A3CA1"/>
    <w:rsid w:val="56512F4F"/>
    <w:rsid w:val="56696C87"/>
    <w:rsid w:val="56823D31"/>
    <w:rsid w:val="56972C5B"/>
    <w:rsid w:val="569928D5"/>
    <w:rsid w:val="56CB5785"/>
    <w:rsid w:val="56E62C59"/>
    <w:rsid w:val="56FA716F"/>
    <w:rsid w:val="57007337"/>
    <w:rsid w:val="57392849"/>
    <w:rsid w:val="57A5754C"/>
    <w:rsid w:val="57EE6263"/>
    <w:rsid w:val="58037447"/>
    <w:rsid w:val="580F601F"/>
    <w:rsid w:val="581562F3"/>
    <w:rsid w:val="583E0119"/>
    <w:rsid w:val="584A3B76"/>
    <w:rsid w:val="585E232B"/>
    <w:rsid w:val="58726012"/>
    <w:rsid w:val="58750C94"/>
    <w:rsid w:val="588C6486"/>
    <w:rsid w:val="58917198"/>
    <w:rsid w:val="58952F0A"/>
    <w:rsid w:val="58A35E18"/>
    <w:rsid w:val="58A9385C"/>
    <w:rsid w:val="58B927B6"/>
    <w:rsid w:val="58BA76C0"/>
    <w:rsid w:val="58C16D0D"/>
    <w:rsid w:val="58C3675C"/>
    <w:rsid w:val="58FA7F49"/>
    <w:rsid w:val="590B66AD"/>
    <w:rsid w:val="59253085"/>
    <w:rsid w:val="59483E0B"/>
    <w:rsid w:val="595B0854"/>
    <w:rsid w:val="59814033"/>
    <w:rsid w:val="598708D6"/>
    <w:rsid w:val="59992E81"/>
    <w:rsid w:val="59AE6F18"/>
    <w:rsid w:val="59B825A1"/>
    <w:rsid w:val="59BC2F41"/>
    <w:rsid w:val="59F0318B"/>
    <w:rsid w:val="5A0C4909"/>
    <w:rsid w:val="5A19373C"/>
    <w:rsid w:val="5A1B0463"/>
    <w:rsid w:val="5A3014AB"/>
    <w:rsid w:val="5A317807"/>
    <w:rsid w:val="5A9009D2"/>
    <w:rsid w:val="5A924FBC"/>
    <w:rsid w:val="5AAD186E"/>
    <w:rsid w:val="5AC249B7"/>
    <w:rsid w:val="5AC65DB5"/>
    <w:rsid w:val="5ADB64F9"/>
    <w:rsid w:val="5B07023D"/>
    <w:rsid w:val="5B12571D"/>
    <w:rsid w:val="5B243315"/>
    <w:rsid w:val="5B3E2D68"/>
    <w:rsid w:val="5B4903C3"/>
    <w:rsid w:val="5B4B62A5"/>
    <w:rsid w:val="5B521467"/>
    <w:rsid w:val="5BA16930"/>
    <w:rsid w:val="5BA72948"/>
    <w:rsid w:val="5BA8229B"/>
    <w:rsid w:val="5BEE6D28"/>
    <w:rsid w:val="5BF324C0"/>
    <w:rsid w:val="5BF93E7B"/>
    <w:rsid w:val="5C073F71"/>
    <w:rsid w:val="5C0D17F2"/>
    <w:rsid w:val="5C4440C3"/>
    <w:rsid w:val="5C6E4B82"/>
    <w:rsid w:val="5C8E652F"/>
    <w:rsid w:val="5C982684"/>
    <w:rsid w:val="5C9B401D"/>
    <w:rsid w:val="5CB532E3"/>
    <w:rsid w:val="5CB6626D"/>
    <w:rsid w:val="5CC16A59"/>
    <w:rsid w:val="5CC9520F"/>
    <w:rsid w:val="5CD77519"/>
    <w:rsid w:val="5CDC7C14"/>
    <w:rsid w:val="5CE73B56"/>
    <w:rsid w:val="5CEF1559"/>
    <w:rsid w:val="5CF40796"/>
    <w:rsid w:val="5D015424"/>
    <w:rsid w:val="5D0B5EC1"/>
    <w:rsid w:val="5D1B487F"/>
    <w:rsid w:val="5D1C3B99"/>
    <w:rsid w:val="5D27257C"/>
    <w:rsid w:val="5D5D3471"/>
    <w:rsid w:val="5DCD5A99"/>
    <w:rsid w:val="5DD5324F"/>
    <w:rsid w:val="5DD73114"/>
    <w:rsid w:val="5DEB57AC"/>
    <w:rsid w:val="5DEE5913"/>
    <w:rsid w:val="5DFA2945"/>
    <w:rsid w:val="5E0B3B80"/>
    <w:rsid w:val="5E281CFC"/>
    <w:rsid w:val="5E3864FB"/>
    <w:rsid w:val="5E5E2B95"/>
    <w:rsid w:val="5E601FEA"/>
    <w:rsid w:val="5E644072"/>
    <w:rsid w:val="5E6957C1"/>
    <w:rsid w:val="5EB84E29"/>
    <w:rsid w:val="5EE13589"/>
    <w:rsid w:val="5EF274CA"/>
    <w:rsid w:val="5F081069"/>
    <w:rsid w:val="5F1B320A"/>
    <w:rsid w:val="5F2B0BA3"/>
    <w:rsid w:val="5F570034"/>
    <w:rsid w:val="5F754D80"/>
    <w:rsid w:val="5F767A35"/>
    <w:rsid w:val="5F790E25"/>
    <w:rsid w:val="5F7E1336"/>
    <w:rsid w:val="5F917AF1"/>
    <w:rsid w:val="5F9672CD"/>
    <w:rsid w:val="5FA261C4"/>
    <w:rsid w:val="5FA32044"/>
    <w:rsid w:val="5FDB126D"/>
    <w:rsid w:val="5FDE5256"/>
    <w:rsid w:val="600C3CC6"/>
    <w:rsid w:val="601024A8"/>
    <w:rsid w:val="60156A9C"/>
    <w:rsid w:val="603E0144"/>
    <w:rsid w:val="60553866"/>
    <w:rsid w:val="605F3B3C"/>
    <w:rsid w:val="606D52CC"/>
    <w:rsid w:val="60ED3710"/>
    <w:rsid w:val="60F53018"/>
    <w:rsid w:val="61107FCA"/>
    <w:rsid w:val="61235F4C"/>
    <w:rsid w:val="61365F6C"/>
    <w:rsid w:val="61571BE8"/>
    <w:rsid w:val="617A0B0D"/>
    <w:rsid w:val="61C94688"/>
    <w:rsid w:val="61D670CB"/>
    <w:rsid w:val="61F71E67"/>
    <w:rsid w:val="62186D32"/>
    <w:rsid w:val="622D6064"/>
    <w:rsid w:val="62325A9F"/>
    <w:rsid w:val="62486EAF"/>
    <w:rsid w:val="62605801"/>
    <w:rsid w:val="627775AB"/>
    <w:rsid w:val="6283091C"/>
    <w:rsid w:val="62910B40"/>
    <w:rsid w:val="62C27C70"/>
    <w:rsid w:val="63672634"/>
    <w:rsid w:val="63A75D22"/>
    <w:rsid w:val="63AC385E"/>
    <w:rsid w:val="63E46EE4"/>
    <w:rsid w:val="63F64504"/>
    <w:rsid w:val="63F8415A"/>
    <w:rsid w:val="642871A8"/>
    <w:rsid w:val="64361B28"/>
    <w:rsid w:val="643F0D73"/>
    <w:rsid w:val="64475E7D"/>
    <w:rsid w:val="64847DB9"/>
    <w:rsid w:val="648D5402"/>
    <w:rsid w:val="64946436"/>
    <w:rsid w:val="64BB2AEF"/>
    <w:rsid w:val="64C262DC"/>
    <w:rsid w:val="64E12C52"/>
    <w:rsid w:val="64E738E4"/>
    <w:rsid w:val="64F651D6"/>
    <w:rsid w:val="64FB161F"/>
    <w:rsid w:val="65387DEE"/>
    <w:rsid w:val="655E15E5"/>
    <w:rsid w:val="657A0699"/>
    <w:rsid w:val="657E0B4A"/>
    <w:rsid w:val="65987D38"/>
    <w:rsid w:val="65A519B5"/>
    <w:rsid w:val="65AC6D08"/>
    <w:rsid w:val="65C11259"/>
    <w:rsid w:val="65F4539C"/>
    <w:rsid w:val="65F96134"/>
    <w:rsid w:val="660B7970"/>
    <w:rsid w:val="6662245D"/>
    <w:rsid w:val="668C1F8D"/>
    <w:rsid w:val="668D21DB"/>
    <w:rsid w:val="66AF42C1"/>
    <w:rsid w:val="66C0263F"/>
    <w:rsid w:val="66F023F0"/>
    <w:rsid w:val="66F6404F"/>
    <w:rsid w:val="66F82E1E"/>
    <w:rsid w:val="6715798C"/>
    <w:rsid w:val="672711DA"/>
    <w:rsid w:val="672A066D"/>
    <w:rsid w:val="67327AAC"/>
    <w:rsid w:val="675B1678"/>
    <w:rsid w:val="676A2050"/>
    <w:rsid w:val="676E335E"/>
    <w:rsid w:val="67792FA3"/>
    <w:rsid w:val="67823747"/>
    <w:rsid w:val="6784683D"/>
    <w:rsid w:val="67B44B48"/>
    <w:rsid w:val="68071BA7"/>
    <w:rsid w:val="68404616"/>
    <w:rsid w:val="68466770"/>
    <w:rsid w:val="6874548F"/>
    <w:rsid w:val="687A2C84"/>
    <w:rsid w:val="687E455F"/>
    <w:rsid w:val="68816747"/>
    <w:rsid w:val="68B272C0"/>
    <w:rsid w:val="68C76C7C"/>
    <w:rsid w:val="68CC2497"/>
    <w:rsid w:val="68EA7C59"/>
    <w:rsid w:val="68F625BB"/>
    <w:rsid w:val="69073057"/>
    <w:rsid w:val="690A713B"/>
    <w:rsid w:val="6935606D"/>
    <w:rsid w:val="69447CCB"/>
    <w:rsid w:val="696804A5"/>
    <w:rsid w:val="6981643B"/>
    <w:rsid w:val="69C73183"/>
    <w:rsid w:val="69D5188A"/>
    <w:rsid w:val="69E30063"/>
    <w:rsid w:val="69E77FC7"/>
    <w:rsid w:val="69F20C9E"/>
    <w:rsid w:val="69F66377"/>
    <w:rsid w:val="6A2354B9"/>
    <w:rsid w:val="6A2839E6"/>
    <w:rsid w:val="6A4550D9"/>
    <w:rsid w:val="6A5643A5"/>
    <w:rsid w:val="6A6C0BA4"/>
    <w:rsid w:val="6AA17D6E"/>
    <w:rsid w:val="6AA61450"/>
    <w:rsid w:val="6AC1107E"/>
    <w:rsid w:val="6B145D83"/>
    <w:rsid w:val="6B19361A"/>
    <w:rsid w:val="6B1A3942"/>
    <w:rsid w:val="6B210F40"/>
    <w:rsid w:val="6B2133C1"/>
    <w:rsid w:val="6B387832"/>
    <w:rsid w:val="6B6A2B79"/>
    <w:rsid w:val="6B7312D6"/>
    <w:rsid w:val="6B985827"/>
    <w:rsid w:val="6BF13E15"/>
    <w:rsid w:val="6C1D408F"/>
    <w:rsid w:val="6C2E1DC5"/>
    <w:rsid w:val="6C2E4E0C"/>
    <w:rsid w:val="6C70524D"/>
    <w:rsid w:val="6CB11363"/>
    <w:rsid w:val="6CD40446"/>
    <w:rsid w:val="6D1D5D43"/>
    <w:rsid w:val="6D2D0302"/>
    <w:rsid w:val="6D574988"/>
    <w:rsid w:val="6D6E7964"/>
    <w:rsid w:val="6D8E4630"/>
    <w:rsid w:val="6D971028"/>
    <w:rsid w:val="6DA2729F"/>
    <w:rsid w:val="6DB46CFE"/>
    <w:rsid w:val="6E0F6F6B"/>
    <w:rsid w:val="6E2864D0"/>
    <w:rsid w:val="6E2F5CE1"/>
    <w:rsid w:val="6E300441"/>
    <w:rsid w:val="6E3770B3"/>
    <w:rsid w:val="6E4E22DE"/>
    <w:rsid w:val="6E515BEA"/>
    <w:rsid w:val="6E6048D2"/>
    <w:rsid w:val="6E6D6F3E"/>
    <w:rsid w:val="6E7F06E9"/>
    <w:rsid w:val="6E8403F6"/>
    <w:rsid w:val="6EB256E7"/>
    <w:rsid w:val="6ECD75D0"/>
    <w:rsid w:val="6EE66BCF"/>
    <w:rsid w:val="6EFC65EE"/>
    <w:rsid w:val="6F045092"/>
    <w:rsid w:val="6F045AB9"/>
    <w:rsid w:val="6F4F5B05"/>
    <w:rsid w:val="6FD66808"/>
    <w:rsid w:val="70044927"/>
    <w:rsid w:val="702D2976"/>
    <w:rsid w:val="702D34A3"/>
    <w:rsid w:val="705D13A8"/>
    <w:rsid w:val="707468E8"/>
    <w:rsid w:val="70AC4303"/>
    <w:rsid w:val="70B15E6F"/>
    <w:rsid w:val="70BB1278"/>
    <w:rsid w:val="70C21E04"/>
    <w:rsid w:val="70C93174"/>
    <w:rsid w:val="70D14EF5"/>
    <w:rsid w:val="70EF09C4"/>
    <w:rsid w:val="70FD5E4A"/>
    <w:rsid w:val="71125B06"/>
    <w:rsid w:val="712E40EA"/>
    <w:rsid w:val="716454FC"/>
    <w:rsid w:val="716F2C97"/>
    <w:rsid w:val="716F6082"/>
    <w:rsid w:val="719065C2"/>
    <w:rsid w:val="71946BA2"/>
    <w:rsid w:val="71B926D3"/>
    <w:rsid w:val="71C55FCD"/>
    <w:rsid w:val="71F470D6"/>
    <w:rsid w:val="723138C5"/>
    <w:rsid w:val="726875D4"/>
    <w:rsid w:val="72733EBF"/>
    <w:rsid w:val="72985D7A"/>
    <w:rsid w:val="729D7D4E"/>
    <w:rsid w:val="72A61336"/>
    <w:rsid w:val="72D244FC"/>
    <w:rsid w:val="731652C9"/>
    <w:rsid w:val="731A4311"/>
    <w:rsid w:val="734566CE"/>
    <w:rsid w:val="73477D16"/>
    <w:rsid w:val="73575CAD"/>
    <w:rsid w:val="73585AB7"/>
    <w:rsid w:val="73893DB8"/>
    <w:rsid w:val="73A22F43"/>
    <w:rsid w:val="73BC1D01"/>
    <w:rsid w:val="73CF5A43"/>
    <w:rsid w:val="73DA64F7"/>
    <w:rsid w:val="73DE6448"/>
    <w:rsid w:val="73E53046"/>
    <w:rsid w:val="73E831D5"/>
    <w:rsid w:val="741E5B9F"/>
    <w:rsid w:val="7426152C"/>
    <w:rsid w:val="74670AAE"/>
    <w:rsid w:val="746D3546"/>
    <w:rsid w:val="74770299"/>
    <w:rsid w:val="747856D4"/>
    <w:rsid w:val="74A7176B"/>
    <w:rsid w:val="74DE5E7E"/>
    <w:rsid w:val="750F12F1"/>
    <w:rsid w:val="75212CF4"/>
    <w:rsid w:val="752B3379"/>
    <w:rsid w:val="754C650A"/>
    <w:rsid w:val="755A1EB0"/>
    <w:rsid w:val="756C662F"/>
    <w:rsid w:val="756D1BE3"/>
    <w:rsid w:val="758E41D2"/>
    <w:rsid w:val="75F81E78"/>
    <w:rsid w:val="75FE0A8D"/>
    <w:rsid w:val="762A6019"/>
    <w:rsid w:val="762E6D85"/>
    <w:rsid w:val="76345870"/>
    <w:rsid w:val="76360FF8"/>
    <w:rsid w:val="76684159"/>
    <w:rsid w:val="766F6734"/>
    <w:rsid w:val="767D7C04"/>
    <w:rsid w:val="768066A7"/>
    <w:rsid w:val="768123BF"/>
    <w:rsid w:val="76822B3B"/>
    <w:rsid w:val="76932E96"/>
    <w:rsid w:val="76B942D3"/>
    <w:rsid w:val="76DE1FB1"/>
    <w:rsid w:val="770450F5"/>
    <w:rsid w:val="7730491C"/>
    <w:rsid w:val="77305B95"/>
    <w:rsid w:val="77526E13"/>
    <w:rsid w:val="775B2EA6"/>
    <w:rsid w:val="775B7625"/>
    <w:rsid w:val="777837EE"/>
    <w:rsid w:val="777B02CB"/>
    <w:rsid w:val="7789082B"/>
    <w:rsid w:val="779A048B"/>
    <w:rsid w:val="77A85155"/>
    <w:rsid w:val="77BF72E3"/>
    <w:rsid w:val="77D13ABC"/>
    <w:rsid w:val="77E37F3B"/>
    <w:rsid w:val="77F64188"/>
    <w:rsid w:val="78095C96"/>
    <w:rsid w:val="780B56E4"/>
    <w:rsid w:val="781241DA"/>
    <w:rsid w:val="786901C3"/>
    <w:rsid w:val="786D6915"/>
    <w:rsid w:val="78A0407E"/>
    <w:rsid w:val="78C041B4"/>
    <w:rsid w:val="78C878B6"/>
    <w:rsid w:val="78CD7EA6"/>
    <w:rsid w:val="79290824"/>
    <w:rsid w:val="793A4752"/>
    <w:rsid w:val="7943170E"/>
    <w:rsid w:val="79502D1E"/>
    <w:rsid w:val="7962524C"/>
    <w:rsid w:val="79786A15"/>
    <w:rsid w:val="79A96556"/>
    <w:rsid w:val="79B052C8"/>
    <w:rsid w:val="79D12015"/>
    <w:rsid w:val="7A240AD6"/>
    <w:rsid w:val="7A396538"/>
    <w:rsid w:val="7A641717"/>
    <w:rsid w:val="7A6912E8"/>
    <w:rsid w:val="7AAA4D40"/>
    <w:rsid w:val="7B072641"/>
    <w:rsid w:val="7B0F5C3A"/>
    <w:rsid w:val="7B566C76"/>
    <w:rsid w:val="7B5D3EAF"/>
    <w:rsid w:val="7B6378D4"/>
    <w:rsid w:val="7B711D02"/>
    <w:rsid w:val="7B7B6DB3"/>
    <w:rsid w:val="7B952CE9"/>
    <w:rsid w:val="7B9B28DB"/>
    <w:rsid w:val="7B9D482E"/>
    <w:rsid w:val="7BA276C3"/>
    <w:rsid w:val="7BAB24CF"/>
    <w:rsid w:val="7BC6204D"/>
    <w:rsid w:val="7BCE24B5"/>
    <w:rsid w:val="7C09018C"/>
    <w:rsid w:val="7C1E443B"/>
    <w:rsid w:val="7C2E27AE"/>
    <w:rsid w:val="7C34657C"/>
    <w:rsid w:val="7C456155"/>
    <w:rsid w:val="7C69156E"/>
    <w:rsid w:val="7CBF7583"/>
    <w:rsid w:val="7CC707EA"/>
    <w:rsid w:val="7CD31240"/>
    <w:rsid w:val="7CFA4031"/>
    <w:rsid w:val="7D00480E"/>
    <w:rsid w:val="7D006083"/>
    <w:rsid w:val="7D0272D3"/>
    <w:rsid w:val="7D1D6E76"/>
    <w:rsid w:val="7D3D7FAB"/>
    <w:rsid w:val="7D446E5F"/>
    <w:rsid w:val="7D545437"/>
    <w:rsid w:val="7D6033A4"/>
    <w:rsid w:val="7D84123B"/>
    <w:rsid w:val="7DAA5057"/>
    <w:rsid w:val="7DC23E3E"/>
    <w:rsid w:val="7DEE13E8"/>
    <w:rsid w:val="7DF045F8"/>
    <w:rsid w:val="7E1F4C43"/>
    <w:rsid w:val="7E394C16"/>
    <w:rsid w:val="7E4B2F47"/>
    <w:rsid w:val="7E766902"/>
    <w:rsid w:val="7E776777"/>
    <w:rsid w:val="7E9273DB"/>
    <w:rsid w:val="7EED6A0C"/>
    <w:rsid w:val="7EF240C0"/>
    <w:rsid w:val="7F211349"/>
    <w:rsid w:val="7F2A2A9C"/>
    <w:rsid w:val="7F464719"/>
    <w:rsid w:val="7F915F53"/>
    <w:rsid w:val="7F917FD8"/>
    <w:rsid w:val="7FBD2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kern w:val="2"/>
      <w:sz w:val="21"/>
      <w:szCs w:val="24"/>
    </w:rPr>
  </w:style>
  <w:style w:type="paragraph" w:styleId="3">
    <w:name w:val="Body Text First Indent"/>
    <w:basedOn w:val="2"/>
    <w:unhideWhenUsed/>
    <w:qFormat/>
    <w:uiPriority w:val="99"/>
    <w:pPr>
      <w:ind w:firstLine="420" w:firstLineChars="100"/>
    </w:pPr>
    <w:rPr>
      <w:rFonts w:hint="eastAsia"/>
    </w:rPr>
  </w:style>
  <w:style w:type="paragraph" w:styleId="7">
    <w:name w:val="Normal Indent"/>
    <w:basedOn w:val="1"/>
    <w:link w:val="49"/>
    <w:qFormat/>
    <w:uiPriority w:val="0"/>
    <w:pPr>
      <w:ind w:firstLine="420" w:firstLineChars="200"/>
    </w:pPr>
  </w:style>
  <w:style w:type="paragraph" w:styleId="8">
    <w:name w:val="annotation text"/>
    <w:basedOn w:val="1"/>
    <w:link w:val="48"/>
    <w:qFormat/>
    <w:uiPriority w:val="0"/>
    <w:pPr>
      <w:jc w:val="left"/>
    </w:pPr>
    <w:rPr>
      <w:sz w:val="18"/>
    </w:rPr>
  </w:style>
  <w:style w:type="paragraph" w:styleId="9">
    <w:name w:val="Body Text Indent"/>
    <w:basedOn w:val="1"/>
    <w:link w:val="43"/>
    <w:qFormat/>
    <w:uiPriority w:val="0"/>
    <w:pPr>
      <w:ind w:firstLine="630"/>
    </w:pPr>
    <w:rPr>
      <w:sz w:val="32"/>
    </w:rPr>
  </w:style>
  <w:style w:type="paragraph" w:styleId="10">
    <w:name w:val="toc 3"/>
    <w:basedOn w:val="1"/>
    <w:next w:val="1"/>
    <w:qFormat/>
    <w:uiPriority w:val="0"/>
    <w:pPr>
      <w:ind w:left="840" w:leftChars="400"/>
    </w:pPr>
  </w:style>
  <w:style w:type="paragraph" w:styleId="11">
    <w:name w:val="Plain Text"/>
    <w:basedOn w:val="1"/>
    <w:link w:val="45"/>
    <w:qFormat/>
    <w:uiPriority w:val="0"/>
    <w:pPr>
      <w:autoSpaceDE w:val="0"/>
      <w:autoSpaceDN w:val="0"/>
      <w:adjustRightInd w:val="0"/>
    </w:pPr>
    <w:rPr>
      <w:rFonts w:hAnsi="Tms Rmn"/>
    </w:rPr>
  </w:style>
  <w:style w:type="paragraph" w:styleId="12">
    <w:name w:val="Body Text Indent 2"/>
    <w:basedOn w:val="1"/>
    <w:qFormat/>
    <w:uiPriority w:val="0"/>
    <w:pPr>
      <w:spacing w:after="120" w:line="480" w:lineRule="auto"/>
      <w:ind w:left="420" w:leftChars="200"/>
    </w:pPr>
  </w:style>
  <w:style w:type="paragraph" w:styleId="13">
    <w:name w:val="Balloon Text"/>
    <w:basedOn w:val="1"/>
    <w:semiHidden/>
    <w:qFormat/>
    <w:uiPriority w:val="0"/>
    <w:rPr>
      <w:sz w:val="18"/>
      <w:szCs w:val="18"/>
    </w:rPr>
  </w:style>
  <w:style w:type="paragraph" w:styleId="14">
    <w:name w:val="footer"/>
    <w:basedOn w:val="1"/>
    <w:link w:val="51"/>
    <w:qFormat/>
    <w:uiPriority w:val="99"/>
    <w:pPr>
      <w:tabs>
        <w:tab w:val="center" w:pos="4153"/>
        <w:tab w:val="right" w:pos="8306"/>
      </w:tabs>
      <w:snapToGrid w:val="0"/>
      <w:jc w:val="left"/>
    </w:pPr>
    <w:rPr>
      <w:sz w:val="18"/>
    </w:rPr>
  </w:style>
  <w:style w:type="paragraph" w:styleId="15">
    <w:name w:val="header"/>
    <w:basedOn w:val="1"/>
    <w:link w:val="53"/>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0"/>
  </w:style>
  <w:style w:type="paragraph" w:styleId="17">
    <w:name w:val="Body Text Indent 3"/>
    <w:basedOn w:val="1"/>
    <w:link w:val="44"/>
    <w:qFormat/>
    <w:uiPriority w:val="0"/>
    <w:pPr>
      <w:spacing w:after="120"/>
      <w:ind w:left="420" w:leftChars="200"/>
    </w:pPr>
    <w:rPr>
      <w:sz w:val="16"/>
      <w:szCs w:val="16"/>
    </w:rPr>
  </w:style>
  <w:style w:type="paragraph" w:styleId="18">
    <w:name w:val="toc 2"/>
    <w:basedOn w:val="1"/>
    <w:next w:val="1"/>
    <w:qFormat/>
    <w:uiPriority w:val="0"/>
    <w:pPr>
      <w:ind w:left="420" w:leftChars="200"/>
    </w:pPr>
  </w:style>
  <w:style w:type="paragraph" w:styleId="19">
    <w:name w:val="Normal (Web)"/>
    <w:basedOn w:val="1"/>
    <w:qFormat/>
    <w:uiPriority w:val="0"/>
    <w:pPr>
      <w:widowControl/>
      <w:spacing w:before="100" w:beforeAutospacing="1" w:after="100" w:afterAutospacing="1"/>
      <w:jc w:val="left"/>
    </w:pPr>
    <w:rPr>
      <w:rFonts w:hAnsi="宋体"/>
      <w:sz w:val="18"/>
      <w:szCs w:val="18"/>
    </w:rPr>
  </w:style>
  <w:style w:type="paragraph" w:styleId="20">
    <w:name w:val="annotation subject"/>
    <w:basedOn w:val="8"/>
    <w:next w:val="8"/>
    <w:link w:val="47"/>
    <w:qFormat/>
    <w:uiPriority w:val="0"/>
    <w:rPr>
      <w:b/>
      <w:bCs/>
      <w:sz w:val="21"/>
      <w:szCs w:val="24"/>
    </w:rPr>
  </w:style>
  <w:style w:type="paragraph" w:styleId="21">
    <w:name w:val="Body Text First Indent 2"/>
    <w:basedOn w:val="9"/>
    <w:unhideWhenUsed/>
    <w:qFormat/>
    <w:uiPriority w:val="99"/>
    <w:pPr>
      <w:spacing w:before="100" w:beforeAutospacing="1" w:line="480" w:lineRule="exact"/>
      <w:ind w:left="0" w:leftChars="0" w:firstLine="420"/>
    </w:pPr>
    <w:rPr>
      <w:sz w:val="28"/>
      <w:szCs w:val="28"/>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qFormat/>
    <w:uiPriority w:val="0"/>
    <w:rPr>
      <w:color w:val="0000FF"/>
      <w:u w:val="single"/>
    </w:rPr>
  </w:style>
  <w:style w:type="character" w:styleId="27">
    <w:name w:val="annotation reference"/>
    <w:basedOn w:val="24"/>
    <w:qFormat/>
    <w:uiPriority w:val="0"/>
    <w:rPr>
      <w:sz w:val="21"/>
      <w:szCs w:val="21"/>
    </w:rPr>
  </w:style>
  <w:style w:type="paragraph" w:customStyle="1" w:styleId="28">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29">
    <w:name w:val="Body Text 21"/>
    <w:basedOn w:val="1"/>
    <w:qFormat/>
    <w:uiPriority w:val="0"/>
    <w:pPr>
      <w:adjustRightInd w:val="0"/>
      <w:spacing w:line="300" w:lineRule="auto"/>
      <w:jc w:val="center"/>
      <w:textAlignment w:val="baseline"/>
    </w:pPr>
    <w:rPr>
      <w:rFonts w:hAnsi="宋体"/>
      <w:sz w:val="24"/>
    </w:rPr>
  </w:style>
  <w:style w:type="paragraph" w:customStyle="1" w:styleId="3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
    <w:name w:val="正文首行缩进两字符"/>
    <w:basedOn w:val="1"/>
    <w:qFormat/>
    <w:uiPriority w:val="0"/>
    <w:pPr>
      <w:spacing w:line="360" w:lineRule="auto"/>
      <w:ind w:firstLine="200" w:firstLineChars="200"/>
    </w:pPr>
  </w:style>
  <w:style w:type="paragraph" w:customStyle="1" w:styleId="32">
    <w:name w:val="_Style 3"/>
    <w:basedOn w:val="1"/>
    <w:qFormat/>
    <w:uiPriority w:val="34"/>
    <w:pPr>
      <w:ind w:firstLine="420" w:firstLineChars="200"/>
    </w:pPr>
  </w:style>
  <w:style w:type="paragraph" w:customStyle="1" w:styleId="33">
    <w:name w:val="Char Char Char Char Char Char Char Char Char Char Char Char Char Char1 Char Char Char Char"/>
    <w:basedOn w:val="1"/>
    <w:qFormat/>
    <w:uiPriority w:val="0"/>
    <w:rPr>
      <w:szCs w:val="21"/>
    </w:rPr>
  </w:style>
  <w:style w:type="paragraph" w:customStyle="1" w:styleId="34">
    <w:name w:val="_正文段落"/>
    <w:basedOn w:val="1"/>
    <w:qFormat/>
    <w:uiPriority w:val="0"/>
    <w:pPr>
      <w:spacing w:beforeLines="15" w:afterLines="15" w:line="360" w:lineRule="auto"/>
      <w:ind w:firstLine="200" w:firstLineChars="200"/>
    </w:pPr>
    <w:rPr>
      <w:rFonts w:eastAsia="仿宋_GB2312"/>
      <w:sz w:val="28"/>
    </w:rPr>
  </w:style>
  <w:style w:type="paragraph" w:customStyle="1" w:styleId="35">
    <w:name w:val="WPSOffice手动目录 2"/>
    <w:qFormat/>
    <w:uiPriority w:val="0"/>
    <w:pPr>
      <w:ind w:left="200" w:leftChars="200"/>
    </w:pPr>
    <w:rPr>
      <w:rFonts w:ascii="Calibri" w:hAnsi="Calibri" w:eastAsia="宋体" w:cs="Times New Roman"/>
      <w:lang w:val="en-US" w:eastAsia="zh-CN" w:bidi="ar-SA"/>
    </w:rPr>
  </w:style>
  <w:style w:type="paragraph" w:customStyle="1" w:styleId="36">
    <w:name w:val="样式 首行缩进:  2 字符"/>
    <w:basedOn w:val="1"/>
    <w:qFormat/>
    <w:uiPriority w:val="0"/>
    <w:pPr>
      <w:spacing w:line="400" w:lineRule="exact"/>
      <w:ind w:firstLine="200" w:firstLineChars="200"/>
    </w:pPr>
    <w:rPr>
      <w:rFonts w:cs="宋体"/>
      <w:sz w:val="24"/>
    </w:rPr>
  </w:style>
  <w:style w:type="paragraph" w:customStyle="1" w:styleId="37">
    <w:name w:val="GW-正文"/>
    <w:basedOn w:val="1"/>
    <w:link w:val="41"/>
    <w:qFormat/>
    <w:uiPriority w:val="0"/>
    <w:pPr>
      <w:spacing w:line="360" w:lineRule="auto"/>
      <w:ind w:firstLine="200" w:firstLineChars="200"/>
    </w:pPr>
    <w:rPr>
      <w:rFonts w:eastAsia="仿宋_GB2312"/>
      <w:sz w:val="24"/>
    </w:rPr>
  </w:style>
  <w:style w:type="paragraph" w:customStyle="1" w:styleId="38">
    <w:name w:val="列出段落"/>
    <w:basedOn w:val="1"/>
    <w:link w:val="52"/>
    <w:qFormat/>
    <w:uiPriority w:val="0"/>
    <w:pPr>
      <w:ind w:firstLine="420" w:firstLineChars="200"/>
    </w:pPr>
  </w:style>
  <w:style w:type="paragraph" w:customStyle="1" w:styleId="39">
    <w:name w:val="表格"/>
    <w:basedOn w:val="1"/>
    <w:qFormat/>
    <w:uiPriority w:val="0"/>
    <w:pPr>
      <w:spacing w:line="400" w:lineRule="exact"/>
    </w:pPr>
    <w:rPr>
      <w:sz w:val="24"/>
    </w:rPr>
  </w:style>
  <w:style w:type="paragraph" w:customStyle="1" w:styleId="40">
    <w:name w:val="WPSOffice手动目录 1"/>
    <w:qFormat/>
    <w:uiPriority w:val="0"/>
    <w:rPr>
      <w:rFonts w:ascii="Calibri" w:hAnsi="Calibri" w:eastAsia="宋体" w:cs="Times New Roman"/>
      <w:lang w:val="en-US" w:eastAsia="zh-CN" w:bidi="ar-SA"/>
    </w:rPr>
  </w:style>
  <w:style w:type="character" w:customStyle="1" w:styleId="41">
    <w:name w:val="GW-正文 Char"/>
    <w:link w:val="37"/>
    <w:qFormat/>
    <w:uiPriority w:val="0"/>
    <w:rPr>
      <w:rFonts w:eastAsia="仿宋_GB2312"/>
      <w:kern w:val="2"/>
      <w:sz w:val="24"/>
      <w:szCs w:val="24"/>
      <w:lang w:val="en-US" w:eastAsia="zh-CN" w:bidi="ar-SA"/>
    </w:rPr>
  </w:style>
  <w:style w:type="character" w:customStyle="1" w:styleId="42">
    <w:name w:val="Char Char9"/>
    <w:qFormat/>
    <w:uiPriority w:val="0"/>
    <w:rPr>
      <w:kern w:val="2"/>
      <w:sz w:val="21"/>
    </w:rPr>
  </w:style>
  <w:style w:type="character" w:customStyle="1" w:styleId="43">
    <w:name w:val="正文文本缩进 字符"/>
    <w:link w:val="9"/>
    <w:qFormat/>
    <w:uiPriority w:val="0"/>
    <w:rPr>
      <w:rFonts w:eastAsia="宋体"/>
      <w:kern w:val="2"/>
      <w:sz w:val="32"/>
      <w:lang w:val="en-US" w:eastAsia="zh-CN" w:bidi="ar-SA"/>
    </w:rPr>
  </w:style>
  <w:style w:type="character" w:customStyle="1" w:styleId="44">
    <w:name w:val="正文文本缩进 3 字符"/>
    <w:basedOn w:val="24"/>
    <w:link w:val="17"/>
    <w:qFormat/>
    <w:uiPriority w:val="0"/>
    <w:rPr>
      <w:kern w:val="2"/>
      <w:sz w:val="16"/>
      <w:szCs w:val="16"/>
    </w:rPr>
  </w:style>
  <w:style w:type="character" w:customStyle="1" w:styleId="45">
    <w:name w:val="纯文本 字符"/>
    <w:link w:val="11"/>
    <w:unhideWhenUsed/>
    <w:qFormat/>
    <w:uiPriority w:val="0"/>
    <w:rPr>
      <w:rFonts w:ascii="宋体" w:hAnsi="Tms Rmn" w:eastAsia="宋体"/>
      <w:sz w:val="21"/>
      <w:lang w:val="en-US" w:eastAsia="zh-CN" w:bidi="ar-SA"/>
    </w:rPr>
  </w:style>
  <w:style w:type="character" w:customStyle="1" w:styleId="46">
    <w:name w:val="批注文字 Char1"/>
    <w:qFormat/>
    <w:uiPriority w:val="0"/>
    <w:rPr>
      <w:kern w:val="2"/>
      <w:sz w:val="18"/>
      <w:lang w:bidi="ar-SA"/>
    </w:rPr>
  </w:style>
  <w:style w:type="character" w:customStyle="1" w:styleId="47">
    <w:name w:val="批注主题 字符"/>
    <w:basedOn w:val="48"/>
    <w:link w:val="20"/>
    <w:qFormat/>
    <w:uiPriority w:val="0"/>
    <w:rPr>
      <w:b/>
      <w:bCs/>
      <w:kern w:val="2"/>
      <w:sz w:val="21"/>
      <w:szCs w:val="24"/>
      <w:lang w:bidi="ar-SA"/>
    </w:rPr>
  </w:style>
  <w:style w:type="character" w:customStyle="1" w:styleId="48">
    <w:name w:val="批注文字 字符"/>
    <w:link w:val="8"/>
    <w:qFormat/>
    <w:uiPriority w:val="0"/>
    <w:rPr>
      <w:kern w:val="2"/>
      <w:sz w:val="18"/>
      <w:lang w:bidi="ar-SA"/>
    </w:rPr>
  </w:style>
  <w:style w:type="character" w:customStyle="1" w:styleId="49">
    <w:name w:val="正文缩进 字符"/>
    <w:link w:val="7"/>
    <w:qFormat/>
    <w:uiPriority w:val="0"/>
    <w:rPr>
      <w:rFonts w:eastAsia="宋体"/>
      <w:kern w:val="2"/>
      <w:sz w:val="21"/>
      <w:szCs w:val="24"/>
      <w:lang w:val="en-US" w:eastAsia="zh-CN" w:bidi="ar-SA"/>
    </w:rPr>
  </w:style>
  <w:style w:type="character" w:customStyle="1" w:styleId="50">
    <w:name w:val="（符号）邀请函中一、"/>
    <w:basedOn w:val="24"/>
    <w:qFormat/>
    <w:uiPriority w:val="0"/>
    <w:rPr>
      <w:rFonts w:ascii="黑体" w:hAnsi="黑体" w:eastAsia="黑体"/>
      <w:b/>
      <w:bCs/>
      <w:sz w:val="24"/>
    </w:rPr>
  </w:style>
  <w:style w:type="character" w:customStyle="1" w:styleId="51">
    <w:name w:val="页脚 字符"/>
    <w:link w:val="14"/>
    <w:qFormat/>
    <w:uiPriority w:val="99"/>
    <w:rPr>
      <w:rFonts w:eastAsia="宋体"/>
      <w:kern w:val="2"/>
      <w:sz w:val="18"/>
      <w:lang w:val="en-US" w:eastAsia="zh-CN" w:bidi="ar-SA"/>
    </w:rPr>
  </w:style>
  <w:style w:type="character" w:customStyle="1" w:styleId="52">
    <w:name w:val="列出段落 Char"/>
    <w:link w:val="38"/>
    <w:qFormat/>
    <w:uiPriority w:val="0"/>
    <w:rPr>
      <w:rFonts w:eastAsia="宋体"/>
      <w:kern w:val="2"/>
      <w:sz w:val="21"/>
      <w:szCs w:val="24"/>
      <w:lang w:val="en-US" w:eastAsia="zh-CN" w:bidi="ar-SA"/>
    </w:rPr>
  </w:style>
  <w:style w:type="character" w:customStyle="1" w:styleId="53">
    <w:name w:val="页眉 字符"/>
    <w:link w:val="15"/>
    <w:qFormat/>
    <w:uiPriority w:val="0"/>
    <w:rPr>
      <w:rFonts w:eastAsia="宋体"/>
      <w:kern w:val="2"/>
      <w:sz w:val="18"/>
      <w:lang w:val="en-US" w:eastAsia="zh-CN" w:bidi="ar-SA"/>
    </w:rPr>
  </w:style>
  <w:style w:type="character" w:customStyle="1" w:styleId="54">
    <w:name w:val="font21"/>
    <w:basedOn w:val="24"/>
    <w:qFormat/>
    <w:uiPriority w:val="0"/>
    <w:rPr>
      <w:rFonts w:hint="eastAsia" w:ascii="宋体" w:hAnsi="宋体" w:eastAsia="宋体" w:cs="宋体"/>
      <w:b/>
      <w:color w:val="000000"/>
      <w:sz w:val="22"/>
      <w:szCs w:val="22"/>
      <w:u w:val="none"/>
    </w:rPr>
  </w:style>
  <w:style w:type="character" w:customStyle="1" w:styleId="55">
    <w:name w:val="font01"/>
    <w:basedOn w:val="24"/>
    <w:qFormat/>
    <w:uiPriority w:val="0"/>
    <w:rPr>
      <w:rFonts w:hint="eastAsia" w:ascii="宋体" w:hAnsi="宋体" w:eastAsia="宋体" w:cs="宋体"/>
      <w:color w:val="000000"/>
      <w:sz w:val="22"/>
      <w:szCs w:val="22"/>
      <w:u w:val="none"/>
    </w:rPr>
  </w:style>
  <w:style w:type="paragraph" w:styleId="56">
    <w:name w:val="List Paragraph"/>
    <w:basedOn w:val="1"/>
    <w:qFormat/>
    <w:uiPriority w:val="0"/>
    <w:pPr>
      <w:ind w:firstLine="420" w:firstLineChars="200"/>
    </w:pPr>
    <w:rPr>
      <w:rFonts w:ascii="Calibri"/>
      <w:kern w:val="2"/>
      <w:sz w:val="21"/>
      <w:szCs w:val="22"/>
    </w:rPr>
  </w:style>
  <w:style w:type="character" w:customStyle="1" w:styleId="57">
    <w:name w:val="font11"/>
    <w:basedOn w:val="24"/>
    <w:qFormat/>
    <w:uiPriority w:val="0"/>
    <w:rPr>
      <w:rFonts w:hint="eastAsia" w:ascii="黑体" w:hAnsi="宋体" w:eastAsia="黑体" w:cs="黑体"/>
      <w:color w:val="000000"/>
      <w:sz w:val="24"/>
      <w:szCs w:val="24"/>
      <w:u w:val="none"/>
    </w:rPr>
  </w:style>
  <w:style w:type="character" w:customStyle="1" w:styleId="58">
    <w:name w:val="font71"/>
    <w:basedOn w:val="24"/>
    <w:qFormat/>
    <w:uiPriority w:val="0"/>
    <w:rPr>
      <w:rFonts w:hint="eastAsia" w:ascii="宋体" w:hAnsi="宋体" w:eastAsia="宋体" w:cs="宋体"/>
      <w:b/>
      <w:color w:val="FF0000"/>
      <w:sz w:val="20"/>
      <w:szCs w:val="20"/>
      <w:u w:val="none"/>
    </w:rPr>
  </w:style>
  <w:style w:type="paragraph" w:customStyle="1" w:styleId="59">
    <w:name w:val="图例"/>
    <w:basedOn w:val="1"/>
    <w:qFormat/>
    <w:uiPriority w:val="0"/>
    <w:pPr>
      <w:spacing w:before="120" w:after="120" w:line="360" w:lineRule="auto"/>
      <w:jc w:val="center"/>
    </w:pPr>
    <w:rPr>
      <w:rFonts w:ascii="Times New Roman" w:hAnsi="Times New Roman" w:eastAsia="仿宋_GB2312"/>
      <w:b/>
      <w:sz w:val="24"/>
    </w:rPr>
  </w:style>
  <w:style w:type="paragraph" w:customStyle="1" w:styleId="60">
    <w:name w:val="Default"/>
    <w:basedOn w:val="1"/>
    <w:unhideWhenUsed/>
    <w:qFormat/>
    <w:uiPriority w:val="0"/>
    <w:pPr>
      <w:autoSpaceDE w:val="0"/>
      <w:autoSpaceDN w:val="0"/>
      <w:adjustRightInd w:val="0"/>
      <w:jc w:val="left"/>
    </w:pPr>
    <w:rPr>
      <w:rFonts w:ascii="Arial" w:hAnsi="Arial"/>
      <w:color w:val="000000"/>
      <w:sz w:val="24"/>
    </w:rPr>
  </w:style>
  <w:style w:type="paragraph" w:customStyle="1" w:styleId="61">
    <w:name w:val="正文11"/>
    <w:unhideWhenUsed/>
    <w:qFormat/>
    <w:uiPriority w:val="0"/>
    <w:pPr>
      <w:widowControl w:val="0"/>
      <w:adjustRightInd w:val="0"/>
      <w:spacing w:after="160" w:line="312" w:lineRule="atLeast"/>
      <w:jc w:val="both"/>
      <w:textAlignment w:val="baseline"/>
    </w:pPr>
    <w:rPr>
      <w:rFonts w:hint="eastAsia" w:ascii="宋体" w:hAnsi="Calibri" w:eastAsia="宋体" w:cstheme="minorBidi"/>
      <w:sz w:val="34"/>
      <w:lang w:val="en-US" w:eastAsia="zh-CN" w:bidi="ar-SA"/>
    </w:rPr>
  </w:style>
  <w:style w:type="character" w:customStyle="1" w:styleId="62">
    <w:name w:val="font112"/>
    <w:basedOn w:val="24"/>
    <w:qFormat/>
    <w:uiPriority w:val="0"/>
    <w:rPr>
      <w:rFonts w:hint="default" w:ascii="Tahoma" w:hAnsi="Tahoma" w:eastAsia="Tahoma" w:cs="Tahoma"/>
      <w:color w:val="000000"/>
      <w:sz w:val="22"/>
      <w:szCs w:val="22"/>
      <w:u w:val="none"/>
    </w:rPr>
  </w:style>
  <w:style w:type="character" w:customStyle="1" w:styleId="63">
    <w:name w:val="font51"/>
    <w:basedOn w:val="24"/>
    <w:qFormat/>
    <w:uiPriority w:val="0"/>
    <w:rPr>
      <w:rFonts w:hint="eastAsia" w:ascii="宋体" w:hAnsi="宋体" w:eastAsia="宋体" w:cs="宋体"/>
      <w:color w:val="000000"/>
      <w:sz w:val="22"/>
      <w:szCs w:val="22"/>
      <w:u w:val="none"/>
    </w:rPr>
  </w:style>
  <w:style w:type="character" w:customStyle="1" w:styleId="64">
    <w:name w:val="font161"/>
    <w:basedOn w:val="24"/>
    <w:qFormat/>
    <w:uiPriority w:val="0"/>
    <w:rPr>
      <w:rFonts w:ascii="等线" w:hAnsi="等线" w:eastAsia="等线" w:cs="等线"/>
      <w:color w:val="000000"/>
      <w:sz w:val="18"/>
      <w:szCs w:val="18"/>
      <w:u w:val="none"/>
    </w:rPr>
  </w:style>
  <w:style w:type="character" w:customStyle="1" w:styleId="65">
    <w:name w:val="font211"/>
    <w:basedOn w:val="24"/>
    <w:qFormat/>
    <w:uiPriority w:val="0"/>
    <w:rPr>
      <w:rFonts w:hint="default" w:ascii="等线" w:hAnsi="等线" w:eastAsia="等线" w:cs="等线"/>
      <w:color w:val="000000"/>
      <w:sz w:val="18"/>
      <w:szCs w:val="18"/>
      <w:u w:val="none"/>
      <w:vertAlign w:val="subscript"/>
    </w:rPr>
  </w:style>
  <w:style w:type="paragraph" w:customStyle="1" w:styleId="66">
    <w:name w:val="null3"/>
    <w:hidden/>
    <w:qFormat/>
    <w:uiPriority w:val="0"/>
    <w:rPr>
      <w:rFonts w:hint="eastAsia" w:asciiTheme="minorHAnsi" w:hAnsiTheme="minorHAnsi" w:eastAsiaTheme="minorEastAsia" w:cstheme="minorBidi"/>
      <w:lang w:val="en-US" w:eastAsia="zh-Hans"/>
    </w:rPr>
  </w:style>
  <w:style w:type="character" w:customStyle="1" w:styleId="67">
    <w:name w:val="font151"/>
    <w:basedOn w:val="24"/>
    <w:qFormat/>
    <w:uiPriority w:val="0"/>
    <w:rPr>
      <w:rFonts w:hint="eastAsia" w:ascii="微软雅黑" w:hAnsi="微软雅黑" w:eastAsia="微软雅黑" w:cs="微软雅黑"/>
      <w:color w:val="000000"/>
      <w:sz w:val="18"/>
      <w:szCs w:val="18"/>
      <w:u w:val="none"/>
    </w:rPr>
  </w:style>
  <w:style w:type="character" w:customStyle="1" w:styleId="68">
    <w:name w:val="font81"/>
    <w:basedOn w:val="2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www.levovo.com</Company>
  <Pages>64</Pages>
  <Words>24977</Words>
  <Characters>26044</Characters>
  <Lines>238</Lines>
  <Paragraphs>67</Paragraphs>
  <TotalTime>1</TotalTime>
  <ScaleCrop>false</ScaleCrop>
  <LinksUpToDate>false</LinksUpToDate>
  <CharactersWithSpaces>26850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2017-10-28T08:50:00Z</dcterms:created>
  <dc:creator>吴正新</dc:creator>
  <cp:lastModifiedBy>N三</cp:lastModifiedBy>
  <cp:lastPrinted>2019-09-04T01:10:00Z</cp:lastPrinted>
  <dcterms:modified xsi:type="dcterms:W3CDTF">2025-03-11T03:21:28Z</dcterms:modified>
  <dc:title>招标编号：xx政采招[xxxx] xxx号</dc:title>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54DB632D25C9460FA37B26E7624B3614_13</vt:lpwstr>
  </property>
  <property fmtid="{D5CDD505-2E9C-101B-9397-08002B2CF9AE}" pid="4" name="KSOTemplateDocerSaveRecord">
    <vt:lpwstr>eyJoZGlkIjoiOWE2YjI0YWNiYzVhYTM0YjE4YzE3OGI1ODEzNmUyMDMiLCJ1c2VySWQiOiI1NzgxODY4NjIifQ==</vt:lpwstr>
  </property>
</Properties>
</file>